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8725C0">
        <w:trPr>
          <w:trHeight w:val="7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38319B" w:rsidRDefault="00B43D21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87629F" w:rsidRPr="002F0B6A" w14:paraId="1549F72F" w14:textId="42A6021D" w:rsidTr="00BE7DDD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0D2ECB39" w:rsidR="0087629F" w:rsidRPr="002F0B6A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F0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  <w:r w:rsidRPr="002F0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воздуха бактерицидный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2BDFD8BA" w:rsidR="0087629F" w:rsidRPr="002F0B6A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630E9D83" w:rsidR="0087629F" w:rsidRPr="002F0B6A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9BCB" w14:textId="6E4DD068" w:rsidR="002F0B6A" w:rsidRPr="002F0B6A" w:rsidRDefault="002F0B6A" w:rsidP="002F0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0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  <w:r w:rsidRPr="002F0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воздуха бактерицидный   2/</w:t>
            </w:r>
            <w:proofErr w:type="gramStart"/>
            <w:r w:rsidRPr="002F0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 передвижной</w:t>
            </w:r>
            <w:proofErr w:type="gramEnd"/>
          </w:p>
          <w:p w14:paraId="1DECB3E8" w14:textId="77777777" w:rsidR="002F0B6A" w:rsidRPr="002F0B6A" w:rsidRDefault="002F0B6A" w:rsidP="002F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постоянно в присутствии людей до 24 часов в сутки 7 дней в неделю.  </w:t>
            </w:r>
          </w:p>
          <w:p w14:paraId="1CBE9A2F" w14:textId="77777777" w:rsidR="002F0B6A" w:rsidRPr="002F0B6A" w:rsidRDefault="002F0B6A" w:rsidP="002F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Облучатель –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рециркулятор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может использоваться для помещений первой категории: операционные, палаты противотуберкулезных помещений, палаты для недоношенных детей, стерильные зоны ЦСО, ожоговые и т.д.  Объем воздуха, дезинфицируемого облучателем, составляет: для 1 категории (99,9%) – 110 м</w:t>
            </w:r>
            <w:proofErr w:type="gramStart"/>
            <w:r w:rsidRPr="002F0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 для 2 категории (99%) – 160 м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,  для 3 категории (95%) – 250 м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,  для 4 категории (90%) – 320 м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,  для 5 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категории (85%) – 400 м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0B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Aureus</w:t>
            </w: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соответственно. </w:t>
            </w:r>
          </w:p>
          <w:p w14:paraId="572DBAD0" w14:textId="77777777" w:rsidR="002F0B6A" w:rsidRPr="002F0B6A" w:rsidRDefault="002F0B6A" w:rsidP="002F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излучения: 2 (две) уф - лампы мощностью 30 Вт ресурсом 10800 часов.  Суммарный бактерицидный поток не менее 25,2 Вт. </w:t>
            </w:r>
          </w:p>
          <w:p w14:paraId="1064B12E" w14:textId="77777777" w:rsidR="002F0B6A" w:rsidRPr="002F0B6A" w:rsidRDefault="002F0B6A" w:rsidP="002F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Имеет  металлический</w:t>
            </w:r>
            <w:proofErr w:type="gram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корпус. </w:t>
            </w:r>
          </w:p>
          <w:p w14:paraId="3F6C2F65" w14:textId="01EDEF9B" w:rsidR="0087629F" w:rsidRPr="002F0B6A" w:rsidRDefault="002F0B6A" w:rsidP="002F0B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Габаритные размеры и вес с платформой (Ш/Г/</w:t>
            </w:r>
            <w:proofErr w:type="gramStart"/>
            <w:r w:rsidRPr="002F0B6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В)  400</w:t>
            </w:r>
            <w:proofErr w:type="gramEnd"/>
            <w:r w:rsidRPr="002F0B6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*350*1440 мм, 9,5 кг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3B9FD551" w:rsidR="0087629F" w:rsidRPr="002F0B6A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270 940,00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1020A72B" w:rsidR="0087629F" w:rsidRPr="00666D79" w:rsidRDefault="00666D79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1 354 700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87629F" w:rsidRPr="002F0B6A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130C4F7C" w:rsidR="0087629F" w:rsidRPr="002F0B6A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87629F" w:rsidRPr="0012258A" w14:paraId="73CD6948" w14:textId="619A7965" w:rsidTr="00BE7DDD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  <w:p w14:paraId="4F7A27FB" w14:textId="4E00A09D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32F2D1A5" w:rsidR="0087629F" w:rsidRPr="002F0B6A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F0B6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Пульсоксиметр</w:t>
            </w:r>
            <w:proofErr w:type="spellEnd"/>
            <w:r w:rsidRPr="002F0B6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r w:rsidRPr="002F0B6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kk-KZ"/>
              </w:rPr>
              <w:t>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37485C7B" w:rsidR="0087629F" w:rsidRPr="000E5D4E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677629EE" w:rsidR="0087629F" w:rsidRPr="000E5D4E" w:rsidRDefault="002F0B6A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A73CF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SpО2 сатурация</w:t>
            </w:r>
          </w:p>
          <w:p w14:paraId="15F978DC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Диапазон показаний (%) - от 0 до 99</w:t>
            </w:r>
          </w:p>
          <w:p w14:paraId="1E9E4D4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Пределы измерения (%) - 85-99</w:t>
            </w:r>
          </w:p>
          <w:p w14:paraId="3A07E0A8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                                            60-84</w:t>
            </w:r>
          </w:p>
          <w:p w14:paraId="5B425F8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                                            менее 60</w:t>
            </w:r>
          </w:p>
          <w:p w14:paraId="1C57975C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7566BAD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Погрешность измерения (</w:t>
            </w:r>
            <w:proofErr w:type="gram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%)  от</w:t>
            </w:r>
            <w:proofErr w:type="gram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85 до 99 - 2% (абсолютная погрешность)</w:t>
            </w:r>
          </w:p>
          <w:p w14:paraId="796DC215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от 60 до 84 - 3% (абсолютная погрешность)</w:t>
            </w:r>
          </w:p>
          <w:p w14:paraId="02BB9199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менее 60 - не нормируется</w:t>
            </w:r>
          </w:p>
          <w:p w14:paraId="70CD58B2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Диапазон показаний (1/мин.) - 20-250</w:t>
            </w:r>
          </w:p>
          <w:p w14:paraId="10D094C3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Пределы измерения (1/мин.) - 30-120</w:t>
            </w:r>
          </w:p>
          <w:p w14:paraId="2CE7BD3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 120-250</w:t>
            </w:r>
          </w:p>
          <w:p w14:paraId="51524ED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Погрешность измерения (1/мин.)</w:t>
            </w:r>
          </w:p>
          <w:p w14:paraId="5DA7EEA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30-120 - ± 1</w:t>
            </w:r>
          </w:p>
          <w:p w14:paraId="0E7BD810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120-250 - ± 2</w:t>
            </w:r>
          </w:p>
          <w:p w14:paraId="401C8B4B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Индикация</w:t>
            </w:r>
          </w:p>
          <w:p w14:paraId="22189FE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Семисегментные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светодиоды сатурации - 2 шт. размером 21х14 мм</w:t>
            </w:r>
          </w:p>
          <w:p w14:paraId="25BB2AB9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Семисегментные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светодиоды пульса - 3 шт. размером 14х10 мм</w:t>
            </w:r>
          </w:p>
          <w:p w14:paraId="1862D1D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Линейная шкала - Индикация пульсовой волны, уровня перфузии</w:t>
            </w:r>
          </w:p>
          <w:p w14:paraId="22186498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Время реакции на изменение параметров - не более 15 сек.</w:t>
            </w:r>
          </w:p>
          <w:p w14:paraId="1CD7E600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Четырехуровневая индикация зарядки аккумулятора –</w:t>
            </w:r>
          </w:p>
          <w:p w14:paraId="219F4C1E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Изменяемый уровень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яркостиот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- 21 до 0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mcd</w:t>
            </w:r>
            <w:proofErr w:type="spellEnd"/>
          </w:p>
          <w:p w14:paraId="7737E4A0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Тревожная сигнализации</w:t>
            </w:r>
          </w:p>
          <w:p w14:paraId="364AC423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По установленному пределу сатурации и пульса</w:t>
            </w:r>
          </w:p>
          <w:p w14:paraId="6D534FD9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Качеству сигнала</w:t>
            </w:r>
          </w:p>
          <w:p w14:paraId="302B2F92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Отсутствию датчика</w:t>
            </w:r>
          </w:p>
          <w:p w14:paraId="03CCB1B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Отсутствию пальца в датчике (плохому сигналу)</w:t>
            </w:r>
          </w:p>
          <w:p w14:paraId="5ECA3309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Диапазон установки границ по SpO2</w:t>
            </w:r>
          </w:p>
          <w:p w14:paraId="0E14C8A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- нижняя граница в пределах (%) - от 50 до 99 с шагом (± 1)</w:t>
            </w:r>
          </w:p>
          <w:p w14:paraId="4E623CC1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- верхняя граница в пределах (%) - от 80 до 99 с шагом (± 1)</w:t>
            </w:r>
          </w:p>
          <w:p w14:paraId="29C197A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Диапазон установки границ по PR</w:t>
            </w:r>
          </w:p>
          <w:p w14:paraId="02E3857D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- нижняя граница в пределах (мин/1) - от 30 до 200 с шагом 5</w:t>
            </w:r>
          </w:p>
          <w:p w14:paraId="6D84B92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- верхняя граница в пределах (мин/1) - от 70 до 250 с шагом 5</w:t>
            </w:r>
          </w:p>
          <w:p w14:paraId="17BF84C8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·        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Раздельна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регулировка громкости - По «тревоге», по пульсу</w:t>
            </w:r>
          </w:p>
          <w:p w14:paraId="2955AA0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Электропитание</w:t>
            </w:r>
          </w:p>
          <w:p w14:paraId="566878F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Комбинированное питание</w:t>
            </w:r>
          </w:p>
          <w:p w14:paraId="00F4FB2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От 3-х элементов питания аккумуляторов - Типа АА</w:t>
            </w:r>
          </w:p>
          <w:p w14:paraId="5153470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От 3-х элементов питания одноразового применения - Типа АА</w:t>
            </w:r>
          </w:p>
          <w:p w14:paraId="02D8C52B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От бортовой сети автомобиля, </w:t>
            </w:r>
            <w:proofErr w:type="gram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В  -</w:t>
            </w:r>
            <w:proofErr w:type="gram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8-18</w:t>
            </w:r>
          </w:p>
          <w:p w14:paraId="5110B798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От стационарной </w:t>
            </w:r>
            <w:proofErr w:type="spellStart"/>
            <w:proofErr w:type="gram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сети,В</w:t>
            </w:r>
            <w:proofErr w:type="spellEnd"/>
            <w:proofErr w:type="gram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; Гц - 220; 50</w:t>
            </w:r>
          </w:p>
          <w:p w14:paraId="09602C2C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Габаритные размеры, мм - 69х35х29 ±10</w:t>
            </w:r>
          </w:p>
          <w:p w14:paraId="498B5852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·         Масса – 300 грамм</w:t>
            </w:r>
          </w:p>
          <w:p w14:paraId="31260728" w14:textId="47188531" w:rsidR="0087629F" w:rsidRPr="002F0B6A" w:rsidRDefault="0087629F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4322BC29" w:rsidR="0087629F" w:rsidRPr="000E5D4E" w:rsidRDefault="00821EB7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78 900,00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1D868B4A" w:rsidR="000E5D4E" w:rsidRPr="000E5D4E" w:rsidRDefault="00821EB7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4 418 400,00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17C902BB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0E5D4E" w:rsidRPr="0012258A" w14:paraId="2FBEF75E" w14:textId="77777777" w:rsidTr="00821EB7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568" w14:textId="4C2491E3" w:rsidR="000E5D4E" w:rsidRPr="000E5D4E" w:rsidRDefault="000E5D4E" w:rsidP="000E5D4E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A740" w14:textId="178F3D9E" w:rsidR="000E5D4E" w:rsidRPr="002F0B6A" w:rsidRDefault="002F0B6A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2F0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Пульсоксиметр</w:t>
            </w:r>
            <w:proofErr w:type="spellEnd"/>
            <w:r w:rsidRPr="002F0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0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0E61" w14:textId="37017A3D" w:rsidR="000E5D4E" w:rsidRPr="000E5D4E" w:rsidRDefault="002F0B6A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A67B2" w14:textId="6C6DFD23" w:rsidR="000E5D4E" w:rsidRPr="000E5D4E" w:rsidRDefault="002F0B6A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1FC72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Дисплей</w:t>
            </w:r>
          </w:p>
          <w:p w14:paraId="05FE749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На тонкопленочных транзисторах на тонкоплёночных транзисторах</w:t>
            </w:r>
          </w:p>
          <w:p w14:paraId="0DCB69CC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SpO2</w:t>
            </w:r>
          </w:p>
          <w:p w14:paraId="4FA67FA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Диапазон измерения: 70 ~ 99%,</w:t>
            </w:r>
          </w:p>
          <w:p w14:paraId="417B89D3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Разрешение</w:t>
            </w:r>
          </w:p>
          <w:p w14:paraId="3B6335ED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± 1%</w:t>
            </w:r>
          </w:p>
          <w:p w14:paraId="68188981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Точность</w:t>
            </w:r>
          </w:p>
          <w:p w14:paraId="106013D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± 2% (70% ~ 99%), не указано (&lt;70%)</w:t>
            </w:r>
          </w:p>
          <w:p w14:paraId="50E63A95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Пульсовая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Оксиметрия</w:t>
            </w:r>
            <w:proofErr w:type="spellEnd"/>
          </w:p>
          <w:p w14:paraId="2B623C4C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Диапазон измерения: 30 ~ 240bpm</w:t>
            </w:r>
          </w:p>
          <w:p w14:paraId="72B0051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Размеры и вес</w:t>
            </w:r>
          </w:p>
          <w:p w14:paraId="65C099F3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70 (Д) * 47 (Ш) * 34,4 (В) мм, 38 г (без батарей)</w:t>
            </w:r>
          </w:p>
          <w:p w14:paraId="28DEE183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Сведения об упаковке</w:t>
            </w:r>
          </w:p>
          <w:p w14:paraId="097E171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1 х пальцевой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(без батареи)</w:t>
            </w:r>
          </w:p>
          <w:p w14:paraId="45487F2F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Руководство пользователя на английском языке-1 шт.</w:t>
            </w:r>
          </w:p>
          <w:p w14:paraId="0943FFE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Портативный Медицинский Пальчиковый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продукта:</w:t>
            </w:r>
          </w:p>
          <w:p w14:paraId="10BCDB85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Пальчиковый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Пульсоксиметрический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преобразователь правильно помещается на палец. Сложите и уровня кислорода в крови. В конце цифры. Пульс.</w:t>
            </w:r>
          </w:p>
          <w:p w14:paraId="383E434D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работает путем пропускания луча красного и инфракрасного света через пульсирующую капиллярную кровать. Отношение Красного к инфракрасной крови</w:t>
            </w:r>
          </w:p>
          <w:p w14:paraId="47A8AD79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Передаваемый свет дает измерение насыщения крови кислородом.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пальцевого пальца с сигнализацией предназначен для обеспечения</w:t>
            </w:r>
          </w:p>
          <w:p w14:paraId="2D13E641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Доступный, но точный способ для точечной проверки уровня насыщения кислорода в крови и частоты пульса.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Пульсоксиметрия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неинвазивной</w:t>
            </w:r>
          </w:p>
          <w:p w14:paraId="6F7529A5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Метод мониторинга насыщения кислородом человека (SO2). Хотя его чтение SpO2 (периферическое насыщение кислородом) не всегда</w:t>
            </w:r>
          </w:p>
          <w:p w14:paraId="7CCB9D91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Идентично более желательному чтению SaO2 (Артериальное насыщение кислородом) от анализа артериального кровяного газа, два</w:t>
            </w:r>
          </w:p>
          <w:p w14:paraId="2A68C2FB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Достаточно хорошо коррелирует, что безопасный, удобный, неинвазивный, недорогой метод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пульсоксиметрии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ценен для измерения кислорода</w:t>
            </w:r>
          </w:p>
          <w:p w14:paraId="100CE20A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Насыщенность при клиническом использовании.</w:t>
            </w:r>
          </w:p>
          <w:p w14:paraId="59485EB7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Портативный Медицинский Пальчиковый </w:t>
            </w:r>
            <w:proofErr w:type="spellStart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2F0B6A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продукта:</w:t>
            </w:r>
          </w:p>
          <w:p w14:paraId="48667E7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Цветной TFT дисплей, четыре направления регулируется</w:t>
            </w:r>
          </w:p>
          <w:p w14:paraId="1F0DF82B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SpO2 и импульсный мониторинг с дисплеем формы волны</w:t>
            </w:r>
          </w:p>
          <w:p w14:paraId="75F63CCB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Низкое энергопотребление, непрерывная работа в течение 50 часов</w:t>
            </w:r>
          </w:p>
          <w:p w14:paraId="02873A46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Маленький размер, легкий вес и удобно носить с собой</w:t>
            </w:r>
          </w:p>
          <w:p w14:paraId="18D35318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 Дисплей сигнализации низкого напряжения, Автоматическое отключение питания</w:t>
            </w:r>
          </w:p>
          <w:p w14:paraId="7E277404" w14:textId="77777777" w:rsidR="002F0B6A" w:rsidRPr="002F0B6A" w:rsidRDefault="002F0B6A" w:rsidP="002F0B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Работает на стандартных батареях AAA</w:t>
            </w:r>
          </w:p>
          <w:p w14:paraId="1FE8E3F1" w14:textId="4A9ACC6A" w:rsidR="000E5D4E" w:rsidRPr="002F0B6A" w:rsidRDefault="002F0B6A" w:rsidP="002F0B6A">
            <w:pPr>
              <w:pStyle w:val="a9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  <w:r w:rsidRPr="002F0B6A">
              <w:rPr>
                <w:rFonts w:ascii="Times New Roman" w:hAnsi="Times New Roman" w:cs="Times New Roman"/>
                <w:sz w:val="18"/>
                <w:szCs w:val="18"/>
              </w:rPr>
              <w:t>• Высокопроизводительный чип SOC, более быстрый и точный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D6AF1" w14:textId="60732BF2" w:rsidR="000E5D4E" w:rsidRPr="000E5D4E" w:rsidRDefault="00821EB7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75 600,00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89F4" w14:textId="509E4D72" w:rsidR="000E5D4E" w:rsidRPr="000E5D4E" w:rsidRDefault="00821EB7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1 512 000,00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66B" w14:textId="637C97D1" w:rsidR="000E5D4E" w:rsidRPr="000E5D4E" w:rsidRDefault="000E5D4E" w:rsidP="00821E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1A3A" w14:textId="76384191" w:rsidR="000E5D4E" w:rsidRPr="000E5D4E" w:rsidRDefault="000E5D4E" w:rsidP="00821EB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8725C0" w:rsidRPr="0012258A" w14:paraId="7737C786" w14:textId="14B2CDA5" w:rsidTr="008725C0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8725C0" w:rsidRPr="00170590" w:rsidRDefault="008725C0" w:rsidP="008725C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8725C0" w:rsidRPr="00D23E3D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8725C0" w:rsidRPr="00D23E3D" w:rsidRDefault="008725C0" w:rsidP="00872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8725C0" w:rsidRPr="00D23E3D" w:rsidRDefault="008725C0" w:rsidP="00872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34E26FD4" w:rsidR="008725C0" w:rsidRPr="004462B1" w:rsidRDefault="00666D79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7 285 100,00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0613B36E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29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марта</w:t>
      </w:r>
      <w:r>
        <w:rPr>
          <w:rStyle w:val="a7"/>
          <w:color w:val="E36C0A" w:themeColor="accent6" w:themeShade="BF"/>
          <w:sz w:val="20"/>
          <w:szCs w:val="20"/>
        </w:rPr>
        <w:t> 2023 г  до 10.00 часов «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0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5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 xml:space="preserve">апреля </w:t>
      </w:r>
      <w:r>
        <w:rPr>
          <w:rStyle w:val="a7"/>
          <w:color w:val="E36C0A" w:themeColor="accent6" w:themeShade="BF"/>
          <w:sz w:val="20"/>
          <w:szCs w:val="20"/>
        </w:rPr>
        <w:t xml:space="preserve">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136CEBA0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05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lastRenderedPageBreak/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C31F2"/>
    <w:rsid w:val="000C541A"/>
    <w:rsid w:val="000C57C0"/>
    <w:rsid w:val="000C5F03"/>
    <w:rsid w:val="000D23F2"/>
    <w:rsid w:val="000E27A6"/>
    <w:rsid w:val="000E2A98"/>
    <w:rsid w:val="000E3C21"/>
    <w:rsid w:val="000E5D4E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F0B6A"/>
    <w:rsid w:val="002F0C05"/>
    <w:rsid w:val="002F0D92"/>
    <w:rsid w:val="00303C97"/>
    <w:rsid w:val="003067F7"/>
    <w:rsid w:val="00307359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2377"/>
    <w:rsid w:val="00605D14"/>
    <w:rsid w:val="00613E5B"/>
    <w:rsid w:val="00617526"/>
    <w:rsid w:val="00620C9D"/>
    <w:rsid w:val="0062266B"/>
    <w:rsid w:val="00625E77"/>
    <w:rsid w:val="00627F9D"/>
    <w:rsid w:val="00665C37"/>
    <w:rsid w:val="00666D79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1EB7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601BF"/>
    <w:rsid w:val="008645E8"/>
    <w:rsid w:val="008725C0"/>
    <w:rsid w:val="008729CC"/>
    <w:rsid w:val="008755AB"/>
    <w:rsid w:val="0087629F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B6373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4645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B5A51"/>
    <w:rsid w:val="00BD259D"/>
    <w:rsid w:val="00BD4C4D"/>
    <w:rsid w:val="00BD727F"/>
    <w:rsid w:val="00BE2876"/>
    <w:rsid w:val="00BE5E2B"/>
    <w:rsid w:val="00BE65E2"/>
    <w:rsid w:val="00BE7DDD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1C9A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a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758F-3761-4D95-A0DB-140F097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27</cp:revision>
  <cp:lastPrinted>2023-03-29T11:07:00Z</cp:lastPrinted>
  <dcterms:created xsi:type="dcterms:W3CDTF">2023-02-08T06:29:00Z</dcterms:created>
  <dcterms:modified xsi:type="dcterms:W3CDTF">2023-03-29T11:10:00Z</dcterms:modified>
</cp:coreProperties>
</file>