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054500B8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851"/>
        <w:gridCol w:w="5812"/>
        <w:gridCol w:w="1134"/>
        <w:gridCol w:w="1275"/>
        <w:gridCol w:w="1134"/>
        <w:gridCol w:w="1701"/>
      </w:tblGrid>
      <w:tr w:rsidR="001C7FB9" w:rsidRPr="007447E6" w14:paraId="12B41B8D" w14:textId="77777777" w:rsidTr="002D711D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Торговое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1C7FB9" w:rsidRPr="007447E6" w14:paraId="1CC30F6C" w14:textId="77777777" w:rsidTr="002D711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998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ED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Дилюент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 xml:space="preserve"> изотонический разбавитель 20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DFA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AA8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8EA8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 xml:space="preserve">● Буферный водный раствор с фиксированными параметрами рН, электропроводимости и </w:t>
            </w: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осмолярности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. Бесцветная жидкость без запаха.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● Содержание сульфата натрия &lt; 2.0%; 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br/>
              <w:t>хлорида  натрия &lt; 0.025%; лимонной кислоты &lt; 0.2; солей ЭДТА &lt; 0.1%; стабилизаторов &lt; 0.04%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br/>
              <w:t>● Отметка на упаковке о дате изготовления, условия хранения указаны на этикетке.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br/>
              <w:t>● Канистра из первичного полиэтилена 1 шт.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Фасовка: 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br/>
              <w:t>Канистра -1*20л.</w:t>
            </w:r>
          </w:p>
          <w:p w14:paraId="12BE6A7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5FB9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FA8C" w14:textId="55F94613" w:rsidR="001C7FB9" w:rsidRPr="007447E6" w:rsidRDefault="00767EEF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209 550,00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AB7F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EA6D" w14:textId="0A31794D" w:rsidR="001C7FB9" w:rsidRPr="00285834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="0028583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7D99EC35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37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Ферментативный очиститель 1 л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Драйлак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6E7A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● Буферный водный раствор с фиксированными параметрами рН, электропроводимости и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осмолярности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Жидкость синего цвета без запаха. Содержание протеолитического фермента </w:t>
            </w: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1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%; формиата натрия &lt; 0.8 %; хлорида натрия &lt; 0.6%, солей ЭДТА &lt; 0.2%; пропиленгликоля &lt; 3.5%;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сурфактанта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&lt; 0.2%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● Отметка на упаковке о дате изготовления, условия хранения указаны на этикетке.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● Флакон из первичного полиэтилена 1 шт. Фасовка: 1 по 1л</w:t>
            </w:r>
          </w:p>
          <w:p w14:paraId="6C19454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16A92560" w:rsidR="00285834" w:rsidRPr="00767EEF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204 340,00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B566" w14:textId="579A9E64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5DF2F327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ABA9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365A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1 л MicroCC-20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113B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EBE9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B1D91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● Водный раствор с фиксированными параметрами рН. Чистая, бесцветная жидкость. Содержание четвертичной соли аммония 2,3%, цианида калия 0,025%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● Отметка на упаковке о дате изготовления, условия хранения указаны на этикетке.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●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Циллиндрический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флакон из первичного полиэтилена 1 шт.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● Фасовка: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1*1л.</w:t>
            </w:r>
          </w:p>
          <w:p w14:paraId="506A07EF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47E0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0D01" w14:textId="255AA26A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239 565,00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B4C9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3931" w14:textId="6B748400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754CDD78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FDA7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CB62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кровь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Extend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3*2.5 мл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02EAA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1535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99035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Предназначена для оценки точности и достоверности результатов, полученных на гематологических анализаторах.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Ежедневное использование контрольной крови обеспечивает точность и достоверность получаемых результатов. Контрольная  кровь анализируется так же, как  и образцы исследуемой крови.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Состав: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Реагент содержит стабилизированные эритроциты человека, тромбоциты, стабилизаторы.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Стабильность: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Стабильность закрытого флакона 6 месяцев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Стабильность  открытого флакона 30дн.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Фасовка: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наборе 3 флакона по 2,5мл  (1 высокий уровень, 1 низкий уровень, 1 нормальный уровень).</w:t>
            </w:r>
          </w:p>
          <w:p w14:paraId="01AE280F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8305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19CD" w14:textId="46FA1F1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299 700,00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CD27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186D" w14:textId="395EE770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17A011DB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3690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F06E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полоски диагностическиеН-10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UrineRS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A75B2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D6F2" w14:textId="19B254FB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00558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Тест полоски для проведения анализа мочи с помощью приборов CL-50/CL-500. Количество измеряемых параметров 10. Измеряемые параметры-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лейкоциты,нитриты</w:t>
            </w:r>
            <w:proofErr w:type="gramEnd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,уробилиноген,белок,рН,скрытая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 xml:space="preserve"> кровь (эритроциты),удельный вес (относительная плотность мочи),кетоны(ацетон),</w:t>
            </w: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билирубин,глюкоза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. Интерпретация результата-качественный и полуколичественный анализ.</w:t>
            </w:r>
          </w:p>
          <w:p w14:paraId="2E69B366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0CE6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99EA" w14:textId="3B2666AC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4 019 000,00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6EF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B69B" w14:textId="4C89ED8C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1710B4E8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C537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B3D6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Оксидазные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 xml:space="preserve"> диски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2DF1B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B16E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4794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Оксидазный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тест предназначен для обнаружения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цитохрооксидазы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микроорганизмах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2CB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9B4" w14:textId="72546B1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FDB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CEE4" w14:textId="3B9AF8C9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029DBDCE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E4F8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033E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Стекло предметное 25/75/2,0 №50 штук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32D2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7F33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AA5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Предназначены для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микроскопировании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видимой области спектра для автоматизированных и рутинных микроскопических процедур в клинико-диагностических лабораториях.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554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488E" w14:textId="2C0EC5A6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14 500,00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6AC5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D2B8" w14:textId="17D49FCE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4EC7787E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3CF5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7AE3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 xml:space="preserve">Ферментативный </w:t>
            </w:r>
            <w:proofErr w:type="gramStart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очиститель  Концентрат</w:t>
            </w:r>
            <w:proofErr w:type="gramEnd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 xml:space="preserve"> 50 мл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95F5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20DE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B353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Применение: для промывки иглы дозатора автоматического биохимического анализатора и более тщательной промывки кювет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Разведение:  на</w:t>
            </w:r>
            <w:proofErr w:type="gramEnd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 xml:space="preserve"> 40 мл </w:t>
            </w: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деонизированной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 xml:space="preserve"> воды добавить 10 мл концентрата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Состав: 1,05 N раствор </w:t>
            </w: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NaOH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br/>
              <w:t>Страна происхождения (США)</w:t>
            </w:r>
          </w:p>
          <w:p w14:paraId="015D465B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C44F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EDD6" w14:textId="74A5944D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32 955,00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CF63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B5A0" w14:textId="42C1662A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7255BACF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4A8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AF5B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Питательная среда для выделения и культивирования гонококка сухая (ГНК-агар)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20F60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9D22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9CF139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Агар предназначен для выделения 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гонококка,сухая</w:t>
            </w:r>
            <w:proofErr w:type="spellEnd"/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09A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EFE4" w14:textId="703C51DD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92 500,00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C096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34A1" w14:textId="14E3952C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3CB26A61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B7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10A7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Питательная среда для определения чувствительности микроорганизмов к антибактериальным препаратам Агар Мюллера-Хинтона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B321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D860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0971E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Агар Мюллера-Хинтона используют для культивирования и определения чувствительности микроорганизмов к антимикробным средствам.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353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28BE" w14:textId="029CA479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FB15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2A59" w14:textId="64080724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670A7456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E11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A8CA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 реагентов Питательная среда для контроля микробной загрязненности сухая М (Агар Сабуро)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F415F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BA3F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4C977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Агар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Сабуро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предназначен для 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культивирования,выделения</w:t>
            </w:r>
            <w:proofErr w:type="spellEnd"/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идентификации,патогенных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грибов.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DE7A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DF17" w14:textId="66F3CEA2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3711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6C7A" w14:textId="5B11D94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20EF2AF9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F65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0F92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 для окраски мазков по Грамму на 100 определений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4050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02A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A5083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выявления принадлежности бактерий и для дифференцированной 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окраски,исследования</w:t>
            </w:r>
            <w:proofErr w:type="spellEnd"/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структуры клеточной стенки.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64C4" w14:textId="4A5EF679" w:rsidR="00285834" w:rsidRPr="00767EEF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8F5D" w14:textId="3F9AE135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11 100,00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CCA9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3C32" w14:textId="055F97EC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6407DD97" w14:textId="77777777" w:rsidTr="002805C2">
        <w:trPr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6003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067E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Набор реагентов Масло иммерсионное 100 мл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DA7A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57D5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5543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Используется для апохроматических и ахроматических объективов микроскопов всех видов,кроме люминесцентных,предназнченных для работы в видимой области спектра.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2AB5" w14:textId="6FEEBB88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4256" w14:textId="65BA951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CA1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9175" w14:textId="12A21965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61934200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CA8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E990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Натрий гидроокись,хч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A41AE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A088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3F98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Натрий гидроокись широко применяется как в саиой химической промышленности,так и во многих других производствах.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A147" w14:textId="3D486756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12B0" w14:textId="5B72F4B2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A102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B6FA" w14:textId="0B49DB50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13F5C15E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E82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ADBA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Краситель-фиксатор Эозин метиленовый синий по Май-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Грюнвальду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2B40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3DC0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BF3A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Краситель-фиксатор Эозин метиленовый синий по Май-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Грюнвальду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предназначен для предварительной окраски и фиксации препаратов крови.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CAB2" w14:textId="02E23A09" w:rsidR="00285834" w:rsidRPr="00767EEF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D219" w14:textId="0E2C0AB3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F53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A9ED" w14:textId="66F95663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6BC3C225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E593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1B9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Фуксин основной 50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F607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59E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63028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Краситель фуксин основной предназначен для исследований микробиологической и гистологической 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направленности,а</w:t>
            </w:r>
            <w:proofErr w:type="spellEnd"/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также для приготовления сухих питательных сред.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4E71" w14:textId="5393276B" w:rsidR="00285834" w:rsidRPr="00767EEF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0BB6" w14:textId="0A5F48D0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039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3DE1" w14:textId="2C595CC3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7D8730D3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E460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161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Бактериологический агар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E04D7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FAF" w14:textId="77777777" w:rsidR="00285834" w:rsidRPr="0009618D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0,25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15C6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Агар предназначен для использования в бактериологических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культуральных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питательных средах и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культуральных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средах для </w:t>
            </w: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культур тканей в тех 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случаях,когда</w:t>
            </w:r>
            <w:proofErr w:type="spellEnd"/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прозрачность и совместимость не являются первостепенными.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7AB" w14:textId="047916ED" w:rsidR="00285834" w:rsidRPr="0009618D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64 000,00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A3AF" w14:textId="56DF5D6A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653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A7F4" w14:textId="262836C8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</w:t>
            </w:r>
            <w:r w:rsidRPr="009F5F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0570023D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1227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339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Кювета для фотометрии 10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AF8E1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D0B1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4E101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Кювета используется в фотометрии для приборов КФК-10 и их модификаций.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C0DF" w14:textId="298B55D7" w:rsidR="00285834" w:rsidRPr="00767EEF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1F3B" w14:textId="307B2730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C357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E78F" w14:textId="43929216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6BD491DB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94D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865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Кювета кварцевая на 5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0628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E481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F9F6A3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Кювета кварцевая предназначена для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спецпрофлуориметров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B9E3" w14:textId="353921C5" w:rsidR="00285834" w:rsidRPr="00767EEF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7CF" w14:textId="6F0E97D6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7878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7D3D" w14:textId="06A358D9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0126448E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72C5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E548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Кювета на 3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7BC59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56DB" w14:textId="77777777" w:rsidR="00285834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  <w:p w14:paraId="7D0DF60F" w14:textId="77777777" w:rsidR="00285834" w:rsidRPr="0009618D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589DF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Кювета используется в фотометрии для приборов КФК-2, КФК-3 и их модификаций.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038F" w14:textId="507CDE70" w:rsidR="00285834" w:rsidRPr="00767EEF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4CBA" w14:textId="08AE3BF0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7C3A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6BE7" w14:textId="28BD44F9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349A19C4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A193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61C3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 для пробирок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искуственная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щетина длина 280 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мм,диаметр</w:t>
            </w:r>
            <w:proofErr w:type="spellEnd"/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A679E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FE9A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2A7F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 для пробирок предназначена для очистки лабораторных посуд и аптечной работы.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07BB" w14:textId="42B4C40E" w:rsidR="00285834" w:rsidRPr="00767EEF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5040" w14:textId="65BE12C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6D61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230A" w14:textId="61A3E38E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712E0439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3398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1B51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780300 наконечники 5000 мкл, 100 штук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FEF1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C23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796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Используются с дозаторами в качестве удлиненной модели наконечников. Подходят для использования со штативами для наконечников. Может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автоклавироваться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иссключением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некоторых наконечников с фильтром и наконечников.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0738" w14:textId="69A118F2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650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A0CC" w14:textId="26286311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877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42B6" w14:textId="11A3F3BF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25A62BDB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032F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DAF1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720220 8-канальный дозатор 5-50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4A96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19D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DDDB2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Механический 8-канальный дозатор переменного объема с диапазоном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пипетирования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5-50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Дозатор оборудован модульным механизмом регулировки объема для повышения точности и 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воспроизводимости.Четкое</w:t>
            </w:r>
            <w:proofErr w:type="spellEnd"/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отображение объема на дисплее. Посадочный конус дозатора изготовлен из 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материалов,имеющих</w:t>
            </w:r>
            <w:proofErr w:type="spellEnd"/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высркуб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устойчивость к химическому воздействию. Регулирование объема с защелкиванием при 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фиксировании.Эргономичная</w:t>
            </w:r>
            <w:proofErr w:type="spellEnd"/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опора для пальца.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C829" w14:textId="0FEAAD01" w:rsidR="00285834" w:rsidRPr="00767EEF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A636" w14:textId="0AC61945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330 750,00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2CE0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5D3F" w14:textId="4FBF1F74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495D16D7" w14:textId="77777777" w:rsidTr="002805C2">
        <w:trPr>
          <w:trHeight w:val="2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2E99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8CB6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Чашка Петри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FCF99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043D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B621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Применяется Чашка Петри в 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медицине,фармацевтике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,химической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промышленности,микробиологии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культивирования микроорганизмов. С этой целью данная лабораторная посуда из стекла или полистирола заполняется </w:t>
            </w:r>
            <w:proofErr w:type="spellStart"/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субстанцией,так</w:t>
            </w:r>
            <w:proofErr w:type="spellEnd"/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называемой питательной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средой,для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быстрого роста бактерией.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D718" w14:textId="5B2DB95A" w:rsidR="00285834" w:rsidRPr="00767EEF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5E0E" w14:textId="67F9B22F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0A9E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0678" w14:textId="48F0BFB8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45C11CF0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981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53B5" w14:textId="77777777" w:rsidR="00285834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Пробирка лабораторная центрифужная градуированная</w:t>
            </w:r>
          </w:p>
          <w:p w14:paraId="4E5F2949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17*110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FA9E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5788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F617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Предназначены для центрифугирования в центрифугах типа ОПН-3 и аналогичных им при наличии </w:t>
            </w:r>
            <w:proofErr w:type="spell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соответсвующих</w:t>
            </w:r>
            <w:proofErr w:type="spell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вкладышей.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A999" w14:textId="79491D88" w:rsidR="00285834" w:rsidRPr="00767EEF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12DF" w14:textId="280A9C06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C902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33F5" w14:textId="7BFE3D35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</w:t>
            </w:r>
            <w:r w:rsidRPr="009F5F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3C5BBED9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0259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DE08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Штатив-бокс для хранения 100 предметных стекол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C09C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E322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B6D9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Штатив-бокс предназначен для хранения микропрепаратов на предметных стеклах размером 76*26мм, толщиной 2 мм. Изготовлен бокс-штатив из полистирола.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E6D8" w14:textId="570BD258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8E6" w14:textId="5255FCFE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3 540,00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0D86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8978" w14:textId="1EE483B8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082FF85A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6725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C7E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Краситель Азур-эозин по Романовскому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3A50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E9A7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8764D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Краситель Азур-эозин по Романовскому предназначен для окрашивания форменных элементов крови.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1827" w14:textId="71D03412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6225" w14:textId="5230D75D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CDFB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D3ED" w14:textId="26B63F29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285834" w:rsidRPr="007447E6" w14:paraId="151F0873" w14:textId="77777777" w:rsidTr="002805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5296" w14:textId="77777777" w:rsidR="00285834" w:rsidRPr="00D66818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1FAE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Пипетка стеклянная к СОЭ-метру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43239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90A4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DEE8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Пипетка стеклянная к СОЭ-метру предназначена для измерения высоты столба плазмы крови при определении скорости оседания эритроцитов.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69BD" w14:textId="4CB78952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2A15" w14:textId="2E01444C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7132" w14:textId="77777777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77E2" w14:textId="32F97684" w:rsidR="00285834" w:rsidRPr="007447E6" w:rsidRDefault="00285834" w:rsidP="0028583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5F8E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 w:rsidRPr="009F5F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</w:p>
        </w:tc>
      </w:tr>
      <w:tr w:rsidR="001C7FB9" w:rsidRPr="007447E6" w14:paraId="2E6C3C03" w14:textId="77777777" w:rsidTr="002D711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1C7FB9" w:rsidRDefault="001C7FB9" w:rsidP="002D711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193553" w:rsidRPr="0027036B" w:rsidRDefault="00193553" w:rsidP="002D711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1C7FB9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13025040" w:rsidR="001C7FB9" w:rsidRPr="00767EEF" w:rsidRDefault="00285834" w:rsidP="002D711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5 896 700,00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47B021E6" w14:textId="2FA12576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0055B8C2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1C7FB9"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3130ED">
        <w:rPr>
          <w:rStyle w:val="a7"/>
          <w:color w:val="E36C0A" w:themeColor="accent6" w:themeShade="BF"/>
          <w:sz w:val="20"/>
          <w:szCs w:val="20"/>
          <w:lang w:val="kk-KZ"/>
        </w:rPr>
        <w:t>4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59737D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>
        <w:rPr>
          <w:rStyle w:val="a7"/>
          <w:color w:val="E36C0A" w:themeColor="accent6" w:themeShade="BF"/>
          <w:sz w:val="20"/>
          <w:szCs w:val="20"/>
        </w:rPr>
        <w:t> 2023 г  до 10.00 часов «</w:t>
      </w:r>
      <w:r w:rsidR="003130ED">
        <w:rPr>
          <w:rStyle w:val="a7"/>
          <w:color w:val="E36C0A" w:themeColor="accent6" w:themeShade="BF"/>
          <w:sz w:val="20"/>
          <w:szCs w:val="20"/>
          <w:lang w:val="kk-KZ"/>
        </w:rPr>
        <w:t>02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3130ED">
        <w:rPr>
          <w:rStyle w:val="a7"/>
          <w:color w:val="E36C0A" w:themeColor="accent6" w:themeShade="BF"/>
          <w:sz w:val="20"/>
          <w:szCs w:val="20"/>
          <w:lang w:val="kk-KZ"/>
        </w:rPr>
        <w:t>мая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1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1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1C47B779" w14:textId="11A080CF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3130ED">
        <w:rPr>
          <w:rStyle w:val="a7"/>
          <w:color w:val="E36C0A" w:themeColor="accent6" w:themeShade="BF"/>
          <w:sz w:val="20"/>
          <w:szCs w:val="20"/>
        </w:rPr>
        <w:t>02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мая </w:t>
      </w:r>
      <w:bookmarkStart w:id="2" w:name="_GoBack"/>
      <w:bookmarkEnd w:id="2"/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</w:t>
      </w:r>
      <w:r w:rsidRPr="00C32AEE">
        <w:rPr>
          <w:rStyle w:val="a8"/>
          <w:color w:val="2D4359"/>
          <w:sz w:val="20"/>
          <w:szCs w:val="20"/>
        </w:rPr>
        <w:lastRenderedPageBreak/>
        <w:t>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55897"/>
    <w:rsid w:val="000620DD"/>
    <w:rsid w:val="0007185A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63197"/>
    <w:rsid w:val="0026509A"/>
    <w:rsid w:val="0026785C"/>
    <w:rsid w:val="0027036B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F0C05"/>
    <w:rsid w:val="002F0D92"/>
    <w:rsid w:val="00303C97"/>
    <w:rsid w:val="003067F7"/>
    <w:rsid w:val="00307359"/>
    <w:rsid w:val="003130ED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7E6B-86D4-4730-9BCF-87AF2619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27</cp:revision>
  <cp:lastPrinted>2023-04-24T06:09:00Z</cp:lastPrinted>
  <dcterms:created xsi:type="dcterms:W3CDTF">2023-02-08T06:29:00Z</dcterms:created>
  <dcterms:modified xsi:type="dcterms:W3CDTF">2023-04-24T06:10:00Z</dcterms:modified>
</cp:coreProperties>
</file>