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BAAA1F4" w:rsidR="00072C49" w:rsidRPr="00D72D83" w:rsidRDefault="00D72D83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Главный врач</w:t>
      </w:r>
    </w:p>
    <w:p w14:paraId="054500B8" w14:textId="1133B57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443D9A00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0A49DA4E" w14:textId="77777777" w:rsidR="00053583" w:rsidRPr="0012258A" w:rsidRDefault="00053583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37"/>
        <w:gridCol w:w="851"/>
        <w:gridCol w:w="6095"/>
        <w:gridCol w:w="1276"/>
        <w:gridCol w:w="1276"/>
        <w:gridCol w:w="821"/>
        <w:gridCol w:w="1701"/>
      </w:tblGrid>
      <w:tr w:rsidR="001C7FB9" w:rsidRPr="007447E6" w14:paraId="12B41B8D" w14:textId="77777777" w:rsidTr="00FD4F66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7447E6" w:rsidRDefault="00AE6157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3235C6" w:rsidRPr="007447E6" w14:paraId="7D99EC35" w14:textId="77777777" w:rsidTr="004D040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1C35271F" w:rsidR="003235C6" w:rsidRPr="00D72D83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B92B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Finecare BNP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Rapid QuantitativeTest</w:t>
            </w: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-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Быстрый количественный тест на BNP </w:t>
            </w: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для анализатора </w:t>
            </w:r>
            <w:r w:rsidRPr="00F64111">
              <w:rPr>
                <w:rFonts w:ascii="Times New Roman" w:hAnsi="Times New Roman" w:cs="Times New Roman"/>
                <w:spacing w:val="-1"/>
                <w:sz w:val="18"/>
                <w:szCs w:val="18"/>
                <w:lang w:val="kk-KZ"/>
              </w:rPr>
              <w:t>Finecare FIA Meter Plus</w:t>
            </w:r>
          </w:p>
          <w:p w14:paraId="08464374" w14:textId="27785D65" w:rsidR="003235C6" w:rsidRPr="00F64111" w:rsidRDefault="003235C6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76BD" w14:textId="173CC533" w:rsidR="003235C6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1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E09B" w14:textId="2CA1A9A1" w:rsidR="003235C6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64B55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Определяемые параметры: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BNP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Rapid QuantitativeTest</w:t>
            </w: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- тест на 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BNP </w:t>
            </w:r>
          </w:p>
          <w:p w14:paraId="62F4F3C3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Принцип теста: 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Количественный экспресс-тест</w:t>
            </w:r>
          </w:p>
          <w:p w14:paraId="6A3871A7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b/>
                <w:sz w:val="18"/>
                <w:szCs w:val="18"/>
              </w:rPr>
              <w:t>Метод теста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 xml:space="preserve">: Флуоресцентный </w:t>
            </w:r>
            <w:proofErr w:type="spellStart"/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иммуноанализ</w:t>
            </w:r>
            <w:proofErr w:type="spellEnd"/>
          </w:p>
          <w:p w14:paraId="126D1080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Режим тестирование: 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Стандартный тест и быстрый тест</w:t>
            </w:r>
          </w:p>
          <w:p w14:paraId="7D1EC980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b/>
                <w:sz w:val="18"/>
                <w:szCs w:val="18"/>
              </w:rPr>
              <w:t>Время выполнения теста: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 xml:space="preserve"> от 3 до 15 мин.</w:t>
            </w:r>
          </w:p>
          <w:p w14:paraId="21252CE3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тестов в наборе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: 25 штук.</w:t>
            </w:r>
          </w:p>
          <w:p w14:paraId="2A37BDD5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111">
              <w:rPr>
                <w:rFonts w:ascii="Times New Roman" w:hAnsi="Times New Roman" w:cs="Times New Roman"/>
                <w:b/>
                <w:sz w:val="18"/>
                <w:szCs w:val="18"/>
              </w:rPr>
              <w:t>Комлектация</w:t>
            </w:r>
            <w:proofErr w:type="spellEnd"/>
            <w:r w:rsidRPr="00F64111">
              <w:rPr>
                <w:rFonts w:ascii="Times New Roman" w:hAnsi="Times New Roman" w:cs="Times New Roman"/>
                <w:sz w:val="18"/>
                <w:szCs w:val="18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14:paraId="6C194544" w14:textId="3740C466" w:rsidR="003235C6" w:rsidRPr="00F64111" w:rsidRDefault="003235C6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20CA" w14:textId="53AD9838" w:rsidR="003235C6" w:rsidRPr="00F04130" w:rsidRDefault="00B845B4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  <w:r w:rsidR="00EC4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C30" w14:textId="0985A70B" w:rsidR="003235C6" w:rsidRPr="00F04130" w:rsidRDefault="0027087A" w:rsidP="003235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470 000,00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03B" w14:textId="37B90D10" w:rsidR="003235C6" w:rsidRPr="00F04130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B566" w14:textId="5136E70B" w:rsidR="003235C6" w:rsidRPr="00F04130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3235C6" w:rsidRPr="007447E6" w14:paraId="3DF4C191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4C93" w14:textId="71B2AFF0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8215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Finecare</w:t>
            </w:r>
            <w:proofErr w:type="spellEnd"/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Cardiac Troponin I (</w:t>
            </w:r>
            <w:proofErr w:type="spellStart"/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cTn</w:t>
            </w:r>
            <w:proofErr w:type="spellEnd"/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I) Rapid Quantitative Test -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Быстрый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количественный</w:t>
            </w:r>
          </w:p>
          <w:p w14:paraId="49844262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 xml:space="preserve">тест на кардиологический </w:t>
            </w:r>
            <w:proofErr w:type="spellStart"/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Тропонин</w:t>
            </w:r>
            <w:proofErr w:type="spellEnd"/>
            <w:r w:rsidRPr="00F641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cTn</w:t>
            </w:r>
            <w:proofErr w:type="spellEnd"/>
            <w:r w:rsidRPr="00F641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)для</w:t>
            </w:r>
            <w:proofErr w:type="gramEnd"/>
            <w:r w:rsidRPr="00F64111">
              <w:rPr>
                <w:rFonts w:ascii="Times New Roman" w:hAnsi="Times New Roman" w:cs="Times New Roman"/>
                <w:sz w:val="18"/>
                <w:szCs w:val="18"/>
              </w:rPr>
              <w:t xml:space="preserve"> портативного флуоресцентного анализатора </w:t>
            </w:r>
            <w:proofErr w:type="spellStart"/>
            <w:r w:rsidRPr="00F641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Finecare</w:t>
            </w:r>
            <w:proofErr w:type="spellEnd"/>
            <w:r w:rsidRPr="00F641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FIA </w:t>
            </w:r>
            <w:proofErr w:type="spellStart"/>
            <w:r w:rsidRPr="00F641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Meter</w:t>
            </w:r>
            <w:proofErr w:type="spellEnd"/>
            <w:r w:rsidRPr="00F641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641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Plus</w:t>
            </w:r>
            <w:proofErr w:type="spellEnd"/>
          </w:p>
          <w:p w14:paraId="71F392E0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35BD3" w14:textId="0AF71E2E" w:rsidR="003235C6" w:rsidRPr="00F64111" w:rsidRDefault="003235C6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7EDF" w14:textId="1A416417" w:rsidR="003235C6" w:rsidRPr="00F64111" w:rsidRDefault="00EC461C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уп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2D52" w14:textId="2C098641" w:rsidR="003235C6" w:rsidRPr="00F64111" w:rsidRDefault="003235C6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1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490B8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Определяемые</w:t>
            </w: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</w:rPr>
              <w:t>параметры</w:t>
            </w: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cTnI</w:t>
            </w:r>
            <w:proofErr w:type="spellEnd"/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Rapid Quantitative Test </w:t>
            </w:r>
          </w:p>
          <w:p w14:paraId="14D08EAE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Принцип теста: Количественный экспресс-тест</w:t>
            </w:r>
          </w:p>
          <w:p w14:paraId="1FFE66A8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 xml:space="preserve">Метод теста: Флуоресцентный </w:t>
            </w:r>
            <w:proofErr w:type="spellStart"/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иммуноанализ</w:t>
            </w:r>
            <w:proofErr w:type="spellEnd"/>
          </w:p>
          <w:p w14:paraId="7DB4EC68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Режим тестирование: Стандартный тест и быстрый тест</w:t>
            </w:r>
          </w:p>
          <w:p w14:paraId="20DE4686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Время выполнения теста: от 3 до 15 мин.</w:t>
            </w:r>
          </w:p>
          <w:p w14:paraId="0A443629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Количество тестов в наборе: 25 штук.</w:t>
            </w:r>
          </w:p>
          <w:p w14:paraId="75DE6E33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Комлектация</w:t>
            </w:r>
            <w:proofErr w:type="spellEnd"/>
            <w:r w:rsidRPr="00F64111">
              <w:rPr>
                <w:rFonts w:ascii="Times New Roman" w:hAnsi="Times New Roman" w:cs="Times New Roman"/>
                <w:sz w:val="18"/>
                <w:szCs w:val="18"/>
              </w:rPr>
              <w:t xml:space="preserve">: Картридж-25шт, идентификационный чип картриджа-1шт, буфер-25шт, инструкция по эксплуатации-1шт. </w:t>
            </w:r>
          </w:p>
          <w:p w14:paraId="46232FA7" w14:textId="77777777" w:rsidR="003235C6" w:rsidRPr="00F64111" w:rsidRDefault="003235C6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Контрольный сигнал - Переключатель одного </w:t>
            </w:r>
          </w:p>
          <w:p w14:paraId="4EE7EE90" w14:textId="77777777" w:rsidR="003235C6" w:rsidRPr="00F64111" w:rsidRDefault="003235C6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касания</w:t>
            </w:r>
          </w:p>
          <w:p w14:paraId="32B7DC6F" w14:textId="77777777" w:rsidR="003235C6" w:rsidRPr="00F64111" w:rsidRDefault="003235C6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Автообнуление</w:t>
            </w:r>
            <w:proofErr w:type="spellEnd"/>
            <w:r w:rsidRPr="00F64111">
              <w:rPr>
                <w:rFonts w:ascii="Times New Roman" w:hAnsi="Times New Roman" w:cs="Times New Roman"/>
                <w:sz w:val="18"/>
                <w:szCs w:val="18"/>
              </w:rPr>
              <w:t xml:space="preserve"> – Есть</w:t>
            </w:r>
          </w:p>
          <w:p w14:paraId="52906B29" w14:textId="77777777" w:rsidR="003235C6" w:rsidRPr="00F64111" w:rsidRDefault="003235C6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Диапазон измерения - 0 ~ 99</w:t>
            </w:r>
          </w:p>
          <w:p w14:paraId="096BDFC3" w14:textId="77777777" w:rsidR="003235C6" w:rsidRPr="00F64111" w:rsidRDefault="003235C6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Частотная характеристика - Постоянный ток ~ 0.5 Гц</w:t>
            </w:r>
          </w:p>
          <w:p w14:paraId="21ED6374" w14:textId="77777777" w:rsidR="003235C6" w:rsidRPr="00F64111" w:rsidRDefault="003235C6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299D" w14:textId="45B57B21" w:rsidR="003235C6" w:rsidRPr="00F04130" w:rsidRDefault="00B845B4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72</w:t>
            </w:r>
            <w:r w:rsidR="00EC46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4906" w14:textId="16348432" w:rsidR="003235C6" w:rsidRPr="00F04130" w:rsidRDefault="0027087A" w:rsidP="003235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362 500,00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2E9D" w14:textId="5BBA6BF5" w:rsidR="003235C6" w:rsidRPr="00F04130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929" w14:textId="19CC7A90" w:rsidR="003235C6" w:rsidRPr="00F04130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3235C6" w:rsidRPr="007447E6" w14:paraId="33C614B5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8C6A" w14:textId="6F148957" w:rsidR="003235C6" w:rsidRPr="003235C6" w:rsidRDefault="003235C6" w:rsidP="003235C6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8D08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Finecare</w:t>
            </w:r>
            <w:proofErr w:type="spellEnd"/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beta-HCG Rapid Quantitative Test</w:t>
            </w: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Быстрый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количественный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Бета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субъединица</w:t>
            </w:r>
            <w:proofErr w:type="spellEnd"/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хорионического</w:t>
            </w:r>
            <w:proofErr w:type="spellEnd"/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гонадотропина</w:t>
            </w:r>
            <w:proofErr w:type="spellEnd"/>
            <w:r w:rsidRPr="00F641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(beta-HCG) </w:t>
            </w: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анализатора</w:t>
            </w: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4111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Finecare</w:t>
            </w:r>
            <w:proofErr w:type="spellEnd"/>
            <w:r w:rsidRPr="00F64111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 FIA Meter Plus</w:t>
            </w:r>
          </w:p>
          <w:p w14:paraId="391F8504" w14:textId="5DB7D739" w:rsidR="003235C6" w:rsidRPr="00F64111" w:rsidRDefault="003235C6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EC160" w14:textId="227EC65B" w:rsidR="003235C6" w:rsidRPr="00F64111" w:rsidRDefault="00EC461C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27F6" w14:textId="724DC136" w:rsidR="003235C6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1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4E0C4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41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Определяемые параметры: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beta-HCG Rapid Quantitative Test</w:t>
            </w:r>
            <w:r w:rsidRPr="00F6411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- тест на </w:t>
            </w:r>
            <w:r w:rsidRPr="00F6411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Бета-субъединица хорионического гонадотропина (beta-HCG)</w:t>
            </w:r>
          </w:p>
          <w:p w14:paraId="321F8C75" w14:textId="77777777" w:rsidR="00F64111" w:rsidRPr="00F64111" w:rsidRDefault="00F64111" w:rsidP="00F64111">
            <w:pPr>
              <w:pStyle w:val="a9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64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Принцип теста: 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Количественный экспресс-тест</w:t>
            </w:r>
          </w:p>
          <w:p w14:paraId="7F5C2264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b/>
                <w:sz w:val="18"/>
                <w:szCs w:val="18"/>
              </w:rPr>
              <w:t>Метод теста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 xml:space="preserve">: Флуоресцентный </w:t>
            </w:r>
            <w:proofErr w:type="spellStart"/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иммуноанализ</w:t>
            </w:r>
            <w:proofErr w:type="spellEnd"/>
          </w:p>
          <w:p w14:paraId="0CA057E2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Режим тестирование: 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Стандартный тест и быстрый тест</w:t>
            </w:r>
          </w:p>
          <w:p w14:paraId="7E582ED2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b/>
                <w:sz w:val="18"/>
                <w:szCs w:val="18"/>
              </w:rPr>
              <w:t>Время выполнения теста: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 xml:space="preserve"> от 3 до 15 мин.</w:t>
            </w:r>
          </w:p>
          <w:p w14:paraId="1809378F" w14:textId="77777777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6411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тестов в наборе</w:t>
            </w:r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: 25 штук.</w:t>
            </w:r>
          </w:p>
          <w:p w14:paraId="34A539CC" w14:textId="4915F7DB" w:rsidR="00F64111" w:rsidRPr="00F64111" w:rsidRDefault="00F64111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111">
              <w:rPr>
                <w:rFonts w:ascii="Times New Roman" w:hAnsi="Times New Roman" w:cs="Times New Roman"/>
                <w:b/>
                <w:sz w:val="18"/>
                <w:szCs w:val="18"/>
              </w:rPr>
              <w:t>Комлектация</w:t>
            </w:r>
            <w:proofErr w:type="spellEnd"/>
            <w:r w:rsidRPr="00F64111">
              <w:rPr>
                <w:rFonts w:ascii="Times New Roman" w:hAnsi="Times New Roman" w:cs="Times New Roman"/>
                <w:sz w:val="18"/>
                <w:szCs w:val="18"/>
              </w:rPr>
              <w:t>: Картридж-25шт, идентификационный чип картриджа-1шт, буфер-25шт, инструкция по эксплуатации-1шт.</w:t>
            </w:r>
          </w:p>
          <w:p w14:paraId="0D42E907" w14:textId="466BB2BD" w:rsidR="003235C6" w:rsidRPr="00F64111" w:rsidRDefault="003235C6" w:rsidP="00F6411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7128" w14:textId="58BFFBD1" w:rsidR="003235C6" w:rsidRPr="00F04130" w:rsidRDefault="00EC461C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ED8A" w14:textId="21E74C54" w:rsidR="003235C6" w:rsidRPr="00F04130" w:rsidRDefault="0027087A" w:rsidP="003235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720 000,00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0461" w14:textId="77777777" w:rsidR="003235C6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  <w:p w14:paraId="73049116" w14:textId="40FAE3E1" w:rsidR="00ED23F2" w:rsidRPr="00F04130" w:rsidRDefault="00ED23F2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DD8D" w14:textId="0C96C71E" w:rsidR="003235C6" w:rsidRPr="00F04130" w:rsidRDefault="003235C6" w:rsidP="003235C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27087A" w:rsidRPr="007447E6" w14:paraId="3A495AB0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A63" w14:textId="4651CC15" w:rsidR="0027087A" w:rsidRPr="00F64111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A9C9" w14:textId="26FCB790" w:rsidR="0027087A" w:rsidRPr="0027087A" w:rsidRDefault="0027087A" w:rsidP="0027087A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Контрольный раствор на D-</w:t>
            </w:r>
            <w:proofErr w:type="spellStart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Dimer</w:t>
            </w:r>
            <w:proofErr w:type="spellEnd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: (3 уровня)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6B58" w14:textId="47DCE306" w:rsidR="0027087A" w:rsidRP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FB50" w14:textId="7FFE2DB9" w:rsidR="0027087A" w:rsidRP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91EEE" w14:textId="7A1F5C04" w:rsidR="0027087A" w:rsidRPr="0027087A" w:rsidRDefault="0027087A" w:rsidP="0027087A">
            <w:pPr>
              <w:pStyle w:val="a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Контрольный раствор на D-</w:t>
            </w:r>
            <w:proofErr w:type="spellStart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Dimer</w:t>
            </w:r>
            <w:proofErr w:type="spellEnd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: (3 уровня)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5565" w14:textId="0B85B84C" w:rsidR="0027087A" w:rsidRP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E1BA" w14:textId="706399F6" w:rsidR="0027087A" w:rsidRPr="00F04130" w:rsidRDefault="0027087A" w:rsidP="002708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30 000,00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E3F9" w14:textId="77777777" w:rsidR="0027087A" w:rsidRDefault="0027087A" w:rsidP="00270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  <w:p w14:paraId="783C74D5" w14:textId="77777777" w:rsidR="0027087A" w:rsidRPr="00F04130" w:rsidRDefault="0027087A" w:rsidP="00270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0E88" w14:textId="2B85AD83" w:rsidR="0027087A" w:rsidRPr="00F04130" w:rsidRDefault="0027087A" w:rsidP="00270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27087A" w:rsidRPr="007447E6" w14:paraId="27B78572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6384" w14:textId="46873CA8" w:rsid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822A" w14:textId="299B118D" w:rsidR="0027087A" w:rsidRPr="0027087A" w:rsidRDefault="0027087A" w:rsidP="0027087A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раствор на кардиологический </w:t>
            </w:r>
            <w:proofErr w:type="spellStart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тропонин</w:t>
            </w:r>
            <w:proofErr w:type="spellEnd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 xml:space="preserve"> I (</w:t>
            </w:r>
            <w:proofErr w:type="spellStart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cTn</w:t>
            </w:r>
            <w:proofErr w:type="spellEnd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 xml:space="preserve"> I): (3 уровня)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55C79" w14:textId="3EAC2682" w:rsidR="0027087A" w:rsidRP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7848" w14:textId="6D4E1D4B" w:rsidR="0027087A" w:rsidRP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3255" w14:textId="2019EBA8" w:rsidR="0027087A" w:rsidRPr="0027087A" w:rsidRDefault="0027087A" w:rsidP="0027087A">
            <w:pPr>
              <w:pStyle w:val="a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раствор на кардиологический </w:t>
            </w:r>
            <w:proofErr w:type="spellStart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тропонин</w:t>
            </w:r>
            <w:proofErr w:type="spellEnd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 xml:space="preserve"> I (</w:t>
            </w:r>
            <w:proofErr w:type="spellStart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cTn</w:t>
            </w:r>
            <w:proofErr w:type="spellEnd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 xml:space="preserve"> I): (3 уровня)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A7FF" w14:textId="01A64FE9" w:rsidR="0027087A" w:rsidRP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8F32" w14:textId="069301B3" w:rsidR="0027087A" w:rsidRPr="00F04130" w:rsidRDefault="0027087A" w:rsidP="002708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23 000,00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3D34" w14:textId="77777777" w:rsidR="0027087A" w:rsidRDefault="0027087A" w:rsidP="00270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  <w:p w14:paraId="5FDE356D" w14:textId="77777777" w:rsidR="0027087A" w:rsidRPr="00F04130" w:rsidRDefault="0027087A" w:rsidP="00270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7348" w14:textId="345EB9BA" w:rsidR="0027087A" w:rsidRPr="00F04130" w:rsidRDefault="0027087A" w:rsidP="00270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27087A" w:rsidRPr="007447E6" w14:paraId="2F549D4A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833" w14:textId="5C22EF28" w:rsid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A084" w14:textId="712B69C7" w:rsidR="0027087A" w:rsidRPr="0027087A" w:rsidRDefault="0027087A" w:rsidP="0027087A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Контрольный раствор на Бета -субъединица хорионического гонадотропина (β-HCG): (3 уровня)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0C8AF" w14:textId="11A009E4" w:rsidR="0027087A" w:rsidRP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CE99" w14:textId="43A83669" w:rsidR="0027087A" w:rsidRP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58213" w14:textId="1D725C95" w:rsidR="0027087A" w:rsidRPr="0027087A" w:rsidRDefault="0027087A" w:rsidP="0027087A">
            <w:pPr>
              <w:pStyle w:val="a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Контрольный раствор на Бета -субъединица хорионического гонадотропина (β-HCG): (3 уровня)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D91D" w14:textId="64544A60" w:rsidR="0027087A" w:rsidRP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E895" w14:textId="72302FCD" w:rsidR="0027087A" w:rsidRPr="00F04130" w:rsidRDefault="0027087A" w:rsidP="002708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25 500,00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D323" w14:textId="77777777" w:rsidR="0027087A" w:rsidRDefault="0027087A" w:rsidP="00270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  <w:p w14:paraId="7C8B54B2" w14:textId="77777777" w:rsidR="0027087A" w:rsidRPr="00F04130" w:rsidRDefault="0027087A" w:rsidP="00270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3631" w14:textId="143BB2E5" w:rsidR="0027087A" w:rsidRPr="00F04130" w:rsidRDefault="0027087A" w:rsidP="00270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27087A" w:rsidRPr="007447E6" w14:paraId="50118091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B6BE" w14:textId="4A7E29F2" w:rsid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5C8E" w14:textId="01FE978F" w:rsidR="0027087A" w:rsidRPr="0027087A" w:rsidRDefault="0027087A" w:rsidP="0027087A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Контрольный раствор на NT-</w:t>
            </w:r>
            <w:proofErr w:type="spellStart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proBNP</w:t>
            </w:r>
            <w:proofErr w:type="spellEnd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: (3 уровня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A302" w14:textId="3721CF43" w:rsidR="0027087A" w:rsidRP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3B1A" w14:textId="27192112" w:rsidR="0027087A" w:rsidRP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410D6" w14:textId="47567DB8" w:rsidR="0027087A" w:rsidRPr="0027087A" w:rsidRDefault="0027087A" w:rsidP="0027087A">
            <w:pPr>
              <w:pStyle w:val="a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Контрольный раствор на NT-</w:t>
            </w:r>
            <w:proofErr w:type="spellStart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proBNP</w:t>
            </w:r>
            <w:proofErr w:type="spellEnd"/>
            <w:r w:rsidRPr="0027087A">
              <w:rPr>
                <w:rFonts w:ascii="Times New Roman" w:hAnsi="Times New Roman" w:cs="Times New Roman"/>
                <w:sz w:val="18"/>
                <w:szCs w:val="18"/>
              </w:rPr>
              <w:t>: (3 уровня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CB05" w14:textId="33E20EC5" w:rsidR="0027087A" w:rsidRPr="0027087A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7087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3A29" w14:textId="4BA6DF8E" w:rsidR="0027087A" w:rsidRPr="00F04130" w:rsidRDefault="0027087A" w:rsidP="002708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24 000,00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B21D" w14:textId="77777777" w:rsidR="0027087A" w:rsidRDefault="0027087A" w:rsidP="00270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  <w:p w14:paraId="51EF0B57" w14:textId="77777777" w:rsidR="0027087A" w:rsidRPr="00F04130" w:rsidRDefault="0027087A" w:rsidP="00270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E2BE" w14:textId="399FE1D8" w:rsidR="0027087A" w:rsidRPr="00F04130" w:rsidRDefault="0027087A" w:rsidP="00270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04130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27087A" w:rsidRPr="007447E6" w14:paraId="2E6C3C03" w14:textId="77777777" w:rsidTr="00FD4F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27087A" w:rsidRPr="007447E6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27087A" w:rsidRDefault="0027087A" w:rsidP="0027087A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27087A" w:rsidRPr="0027036B" w:rsidRDefault="0027087A" w:rsidP="0027087A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27087A" w:rsidRPr="007447E6" w:rsidRDefault="0027087A" w:rsidP="0027087A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27087A" w:rsidRDefault="0027087A" w:rsidP="0027087A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27087A" w:rsidRPr="007447E6" w:rsidRDefault="0027087A" w:rsidP="0027087A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27087A" w:rsidRPr="007447E6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1DB58C39" w:rsidR="0027087A" w:rsidRPr="00767EEF" w:rsidRDefault="0027087A" w:rsidP="0027087A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1 655 000,00</w:t>
            </w:r>
            <w:bookmarkStart w:id="1" w:name="_GoBack"/>
            <w:bookmarkEnd w:id="1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27087A" w:rsidRPr="007447E6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27087A" w:rsidRPr="007447E6" w:rsidRDefault="0027087A" w:rsidP="0027087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2C0E8629" w14:textId="77777777" w:rsid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45500DA" w:rsidR="00DA7210" w:rsidRP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7E4C0E08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 w:rsidR="00053583"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>2023 г  до 10.00 часов «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14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этаж </w:t>
      </w:r>
      <w:bookmarkEnd w:id="2"/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бухгалтерия</w:t>
      </w:r>
    </w:p>
    <w:p w14:paraId="1C47B779" w14:textId="788B686B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F04130">
        <w:rPr>
          <w:rStyle w:val="a7"/>
          <w:color w:val="E36C0A" w:themeColor="accent6" w:themeShade="BF"/>
          <w:sz w:val="20"/>
          <w:szCs w:val="20"/>
          <w:lang w:val="kk-KZ"/>
        </w:rPr>
        <w:t>14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EE6EE2">
        <w:rPr>
          <w:rStyle w:val="a7"/>
          <w:color w:val="E36C0A" w:themeColor="accent6" w:themeShade="BF"/>
          <w:sz w:val="20"/>
          <w:szCs w:val="20"/>
          <w:lang w:val="kk-KZ"/>
        </w:rPr>
        <w:t>ноября</w:t>
      </w:r>
      <w:r w:rsidR="003130ED">
        <w:rPr>
          <w:rStyle w:val="a7"/>
          <w:color w:val="E36C0A" w:themeColor="accent6" w:themeShade="BF"/>
          <w:sz w:val="20"/>
          <w:szCs w:val="20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1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 этаж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бухгалтерия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0DCFEA51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</w:t>
      </w:r>
      <w:r w:rsidR="00C279C7">
        <w:rPr>
          <w:color w:val="2D4359"/>
          <w:sz w:val="20"/>
          <w:szCs w:val="20"/>
          <w:lang w:val="kk-KZ"/>
        </w:rPr>
        <w:t>7 12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lastRenderedPageBreak/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3583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57C31"/>
    <w:rsid w:val="00263197"/>
    <w:rsid w:val="0026509A"/>
    <w:rsid w:val="0026785C"/>
    <w:rsid w:val="0027036B"/>
    <w:rsid w:val="0027087A"/>
    <w:rsid w:val="002823C2"/>
    <w:rsid w:val="002827CA"/>
    <w:rsid w:val="00285834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D4E84"/>
    <w:rsid w:val="002F0C05"/>
    <w:rsid w:val="002F0D92"/>
    <w:rsid w:val="00303C97"/>
    <w:rsid w:val="003067F7"/>
    <w:rsid w:val="00307359"/>
    <w:rsid w:val="003130ED"/>
    <w:rsid w:val="003235C6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01DA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36C24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422D"/>
    <w:rsid w:val="006966A4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33FC"/>
    <w:rsid w:val="007D4B13"/>
    <w:rsid w:val="007E0AED"/>
    <w:rsid w:val="007E135F"/>
    <w:rsid w:val="007E1A02"/>
    <w:rsid w:val="007F2A3D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C4B3F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328C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2EC7"/>
    <w:rsid w:val="00B73598"/>
    <w:rsid w:val="00B73B8E"/>
    <w:rsid w:val="00B8258E"/>
    <w:rsid w:val="00B845B4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9C7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D53E2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72D83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461C"/>
    <w:rsid w:val="00EC637A"/>
    <w:rsid w:val="00EC7DC6"/>
    <w:rsid w:val="00ED23F2"/>
    <w:rsid w:val="00ED281D"/>
    <w:rsid w:val="00ED6920"/>
    <w:rsid w:val="00ED7D6A"/>
    <w:rsid w:val="00EE1151"/>
    <w:rsid w:val="00EE59CA"/>
    <w:rsid w:val="00EE5A87"/>
    <w:rsid w:val="00EE6EE2"/>
    <w:rsid w:val="00F01965"/>
    <w:rsid w:val="00F03FE6"/>
    <w:rsid w:val="00F04130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4111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D4F66"/>
    <w:rsid w:val="00FE25AB"/>
    <w:rsid w:val="00FE5D71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link w:val="aa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b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Без интервала Знак"/>
    <w:link w:val="a9"/>
    <w:rsid w:val="0032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08FF-9335-4B11-B861-8AAAAC58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44</cp:revision>
  <cp:lastPrinted>2023-11-07T06:02:00Z</cp:lastPrinted>
  <dcterms:created xsi:type="dcterms:W3CDTF">2023-02-08T06:29:00Z</dcterms:created>
  <dcterms:modified xsi:type="dcterms:W3CDTF">2023-11-07T06:11:00Z</dcterms:modified>
</cp:coreProperties>
</file>