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443D9A00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A49DA4E" w14:textId="77777777" w:rsidR="00053583" w:rsidRPr="0012258A" w:rsidRDefault="00053583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37"/>
        <w:gridCol w:w="851"/>
        <w:gridCol w:w="6095"/>
        <w:gridCol w:w="1276"/>
        <w:gridCol w:w="1276"/>
        <w:gridCol w:w="821"/>
        <w:gridCol w:w="1701"/>
      </w:tblGrid>
      <w:tr w:rsidR="001C7FB9" w:rsidRPr="007447E6" w14:paraId="12B41B8D" w14:textId="77777777" w:rsidTr="00FD4F6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E94708" w:rsidRPr="007447E6" w14:paraId="7D99EC35" w14:textId="77777777" w:rsidTr="001044C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1C35271F" w:rsidR="00E94708" w:rsidRPr="00D72D83" w:rsidRDefault="00E94708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374" w14:textId="49E33767" w:rsidR="00E94708" w:rsidRPr="00F64111" w:rsidRDefault="00E94708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Альбумин (ALB) (4*40ml), арт: 105-000822-00, Mindray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2CD14E13" w:rsidR="00E94708" w:rsidRPr="00F64111" w:rsidRDefault="00E94708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543F5FAF" w:rsidR="00E94708" w:rsidRPr="008D25F3" w:rsidRDefault="008D25F3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4544" w14:textId="2ACE0E5F" w:rsidR="00E94708" w:rsidRPr="00F64111" w:rsidRDefault="00E94708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Однокомпонентный набор реагентов для определения ALB.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должен быть полностью адаптирован для </w:t>
            </w:r>
            <w:proofErr w:type="spellStart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анализатора. Контейнер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2B74" w14:textId="77777777" w:rsidR="00E94708" w:rsidRDefault="00E94708" w:rsidP="00E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320CA" w14:textId="2731CBEC" w:rsidR="00E94708" w:rsidRPr="00F04130" w:rsidRDefault="00E94708" w:rsidP="00E9470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72E7">
              <w:rPr>
                <w:rFonts w:ascii="Times New Roman" w:hAnsi="Times New Roman" w:cs="Times New Roman"/>
                <w:sz w:val="20"/>
                <w:szCs w:val="20"/>
              </w:rPr>
              <w:t>22 750,00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6B1CF7A2" w:rsidR="00E94708" w:rsidRPr="00F04130" w:rsidRDefault="00E94708" w:rsidP="00E947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8D25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68 250</w:t>
            </w:r>
            <w:r w:rsidR="008D25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37B90D10" w:rsidR="00E94708" w:rsidRPr="00F04130" w:rsidRDefault="00E94708" w:rsidP="00E9470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5136E70B" w:rsidR="00E94708" w:rsidRPr="00F04130" w:rsidRDefault="00E94708" w:rsidP="00E9470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E94708" w:rsidRPr="007447E6" w14:paraId="3DF4C191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4C93" w14:textId="71B2AFF0" w:rsidR="00E94708" w:rsidRPr="003235C6" w:rsidRDefault="00E94708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5BD3" w14:textId="7015D094" w:rsidR="00E94708" w:rsidRPr="00F64111" w:rsidRDefault="00E94708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Холестерин низкой плотности (1х40+1х14)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7EDF" w14:textId="0FEF9E34" w:rsidR="00E94708" w:rsidRPr="00F64111" w:rsidRDefault="00E94708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2D52" w14:textId="14E8737A" w:rsidR="00E94708" w:rsidRPr="008D25F3" w:rsidRDefault="008D25F3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D6374" w14:textId="47BC4AD2" w:rsidR="00E94708" w:rsidRPr="00F64111" w:rsidRDefault="00E94708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Холестерина низкой плотности. Объем рабочего раствора не менее 54мл. Реагенты должны быть расфасованы в одноразовые оригинальные контейнера R1-40мл и R2-14мл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анализатора. Контейнера должны быть снабжены </w:t>
            </w: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специальным штрих-кодом совместимым со встроенным сканером анализатора.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4584" w14:textId="77777777" w:rsidR="00E94708" w:rsidRDefault="00E94708" w:rsidP="00E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D299D" w14:textId="1C6A89A9" w:rsidR="00E94708" w:rsidRPr="00F04130" w:rsidRDefault="00E94708" w:rsidP="00E9470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72E7">
              <w:rPr>
                <w:rFonts w:ascii="Times New Roman" w:hAnsi="Times New Roman" w:cs="Times New Roman"/>
                <w:sz w:val="20"/>
                <w:szCs w:val="20"/>
              </w:rPr>
              <w:t>99 210,00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4906" w14:textId="2C76DBF2" w:rsidR="00E94708" w:rsidRPr="00F04130" w:rsidRDefault="00E94708" w:rsidP="00E947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="008D25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595 260,00</w:t>
            </w: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2E9D" w14:textId="5BBA6BF5" w:rsidR="00E94708" w:rsidRPr="00F04130" w:rsidRDefault="00E94708" w:rsidP="00E9470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929" w14:textId="19CC7A90" w:rsidR="00E94708" w:rsidRPr="00F04130" w:rsidRDefault="00E94708" w:rsidP="00E9470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E94708" w:rsidRPr="007447E6" w14:paraId="33C614B5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8C6A" w14:textId="6F148957" w:rsidR="00E94708" w:rsidRPr="003235C6" w:rsidRDefault="00E94708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8504" w14:textId="15008D02" w:rsidR="00E94708" w:rsidRPr="00E94708" w:rsidRDefault="00E94708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Ферритин R1: 2х18 мл+ R2: 2х10 мл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EC160" w14:textId="512E4723" w:rsidR="00E94708" w:rsidRPr="00F64111" w:rsidRDefault="00E94708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27F6" w14:textId="549AF66C" w:rsidR="00E94708" w:rsidRPr="008D25F3" w:rsidRDefault="008D25F3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E907" w14:textId="044FCA5F" w:rsidR="00E94708" w:rsidRPr="00F64111" w:rsidRDefault="00E94708" w:rsidP="00E9470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FER (Ферритина).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3F69" w14:textId="77777777" w:rsidR="00E94708" w:rsidRDefault="00E94708" w:rsidP="00E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27128" w14:textId="717448A7" w:rsidR="00E94708" w:rsidRPr="00F04130" w:rsidRDefault="00E94708" w:rsidP="00E9470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72E7">
              <w:rPr>
                <w:rFonts w:ascii="Times New Roman" w:hAnsi="Times New Roman" w:cs="Times New Roman"/>
                <w:sz w:val="20"/>
                <w:szCs w:val="20"/>
              </w:rPr>
              <w:t>331 500,00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ED8A" w14:textId="34DA0D86" w:rsidR="00E94708" w:rsidRPr="00F04130" w:rsidRDefault="00E94708" w:rsidP="00E947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8D25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1 657 500,00</w:t>
            </w: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0461" w14:textId="77777777" w:rsidR="00E94708" w:rsidRDefault="00E94708" w:rsidP="00E9470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  <w:p w14:paraId="73049116" w14:textId="40FAE3E1" w:rsidR="00E94708" w:rsidRPr="00F04130" w:rsidRDefault="00E94708" w:rsidP="00E9470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DD8D" w14:textId="0C96C71E" w:rsidR="00E94708" w:rsidRPr="00F04130" w:rsidRDefault="00E94708" w:rsidP="00E9470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A03FF6" w:rsidRPr="007447E6" w14:paraId="3A495AB0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A63" w14:textId="4651CC15" w:rsidR="00A03FF6" w:rsidRPr="00F64111" w:rsidRDefault="00A03FF6" w:rsidP="00A03FF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A9C9" w14:textId="6232534A" w:rsidR="00A03FF6" w:rsidRPr="00A03FF6" w:rsidRDefault="00A03FF6" w:rsidP="00A03FF6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B7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Cleanser Промывочный раствор -2 Cleaning Solution-2 1 x 2500 мл </w:t>
            </w:r>
            <w:r w:rsidRPr="004B7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Для коагулометра Mindray C3100</w:t>
            </w:r>
            <w:r w:rsidRPr="004B7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Закрытая система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6B58" w14:textId="3FB22EF3" w:rsidR="00A03FF6" w:rsidRPr="0027087A" w:rsidRDefault="00A03FF6" w:rsidP="00A03FF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FB50" w14:textId="4930570D" w:rsidR="00A03FF6" w:rsidRPr="008D25F3" w:rsidRDefault="008D25F3" w:rsidP="00A03FF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91EEE" w14:textId="2D77FC3C" w:rsidR="00A03FF6" w:rsidRPr="0027087A" w:rsidRDefault="00A03FF6" w:rsidP="00A03FF6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B72E7">
              <w:rPr>
                <w:rFonts w:ascii="Times New Roman" w:hAnsi="Times New Roman" w:cs="Times New Roman"/>
                <w:sz w:val="20"/>
                <w:szCs w:val="20"/>
              </w:rPr>
              <w:t>Промывающий раствор 2500мл. Реагент должен иметь смарт карту для считывания его анализатором.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5912" w14:textId="77777777" w:rsidR="00A03FF6" w:rsidRDefault="00A03FF6" w:rsidP="00A0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45565" w14:textId="7AA9E81E" w:rsidR="00A03FF6" w:rsidRPr="0027087A" w:rsidRDefault="00A03FF6" w:rsidP="00A03FF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B72E7">
              <w:rPr>
                <w:rFonts w:ascii="Times New Roman" w:hAnsi="Times New Roman" w:cs="Times New Roman"/>
                <w:sz w:val="20"/>
                <w:szCs w:val="20"/>
              </w:rPr>
              <w:t>98 430,00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E1BA" w14:textId="7E3E673F" w:rsidR="00A03FF6" w:rsidRPr="00F04130" w:rsidRDefault="00A03FF6" w:rsidP="00A03F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461B3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984 300,00</w:t>
            </w: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E3F9" w14:textId="77777777" w:rsidR="00A03FF6" w:rsidRDefault="00A03FF6" w:rsidP="00A03F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  <w:p w14:paraId="783C74D5" w14:textId="77777777" w:rsidR="00A03FF6" w:rsidRPr="00F04130" w:rsidRDefault="00A03FF6" w:rsidP="00A03F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0E88" w14:textId="2B85AD83" w:rsidR="00A03FF6" w:rsidRPr="00F04130" w:rsidRDefault="00A03FF6" w:rsidP="00A03F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A03FF6" w:rsidRPr="007447E6" w14:paraId="27B78572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6384" w14:textId="46873CA8" w:rsidR="00A03FF6" w:rsidRDefault="00A03FF6" w:rsidP="00A03FF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822A" w14:textId="10D19396" w:rsidR="00A03FF6" w:rsidRPr="0027087A" w:rsidRDefault="00A03FF6" w:rsidP="00A03FF6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Моющий СD 80 1л, арт. 105-000748-00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55C79" w14:textId="531791D2" w:rsidR="00A03FF6" w:rsidRPr="0027087A" w:rsidRDefault="00A03FF6" w:rsidP="00A03FF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7848" w14:textId="595CB9AE" w:rsidR="00A03FF6" w:rsidRPr="008D25F3" w:rsidRDefault="008D25F3" w:rsidP="00A03FF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3255" w14:textId="61CE3C2F" w:rsidR="00A03FF6" w:rsidRPr="0027087A" w:rsidRDefault="00A03FF6" w:rsidP="00A03FF6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Специальный концентрированный реагент </w:t>
            </w:r>
            <w:proofErr w:type="spellStart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Detergent</w:t>
            </w:r>
            <w:proofErr w:type="spellEnd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CD80.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Набор концентрированного реагента должен быть фасовкой не менее 1-ти флаконов по 1 литру. Набора должно хватать для приготовления не менее чем 15 литров моющего раствора.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BBEE" w14:textId="77777777" w:rsidR="00A03FF6" w:rsidRDefault="00A03FF6" w:rsidP="00A0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FA7FF" w14:textId="38215FAB" w:rsidR="00A03FF6" w:rsidRPr="0027087A" w:rsidRDefault="00A03FF6" w:rsidP="00A03FF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B72E7">
              <w:rPr>
                <w:rFonts w:ascii="Times New Roman" w:hAnsi="Times New Roman" w:cs="Times New Roman"/>
                <w:sz w:val="20"/>
                <w:szCs w:val="20"/>
              </w:rPr>
              <w:t>43 500,00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8F32" w14:textId="3AEC8686" w:rsidR="00A03FF6" w:rsidRPr="00F04130" w:rsidRDefault="00A03FF6" w:rsidP="00A03F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="00461B3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696 000,00</w:t>
            </w: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3D34" w14:textId="77777777" w:rsidR="00A03FF6" w:rsidRDefault="00A03FF6" w:rsidP="00A03F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  <w:p w14:paraId="5FDE356D" w14:textId="77777777" w:rsidR="00A03FF6" w:rsidRPr="00F04130" w:rsidRDefault="00A03FF6" w:rsidP="00A03F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7348" w14:textId="345EB9BA" w:rsidR="00A03FF6" w:rsidRPr="00F04130" w:rsidRDefault="00A03FF6" w:rsidP="00A03F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8D25F3" w:rsidRPr="007447E6" w14:paraId="2F549D4A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833" w14:textId="5C22EF28" w:rsidR="008D25F3" w:rsidRDefault="008D25F3" w:rsidP="008D25F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A084" w14:textId="7A99F2FA" w:rsidR="008D25F3" w:rsidRPr="0027087A" w:rsidRDefault="008D25F3" w:rsidP="008D25F3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2E7">
              <w:rPr>
                <w:rFonts w:ascii="Times New Roman" w:hAnsi="Times New Roman" w:cs="Times New Roman"/>
                <w:sz w:val="20"/>
                <w:szCs w:val="20"/>
              </w:rPr>
              <w:t>Набор С-реактивный белок (1х40+1х10)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0C8AF" w14:textId="7F0B630B" w:rsidR="008D25F3" w:rsidRPr="0027087A" w:rsidRDefault="008D25F3" w:rsidP="008D25F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CE99" w14:textId="647E217F" w:rsidR="008D25F3" w:rsidRPr="008D25F3" w:rsidRDefault="008D25F3" w:rsidP="008D25F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58213" w14:textId="1F521374" w:rsidR="008D25F3" w:rsidRPr="0027087A" w:rsidRDefault="008D25F3" w:rsidP="008D25F3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С-реактивный белок. Реагенты расфасованы в одноразовые оригинальные контейнера R1 (1 флакона по 40 мл) и R2 (1 флакона по 10 мл), для предотвращения контаминации и не требуется переливания в дополнительные картриджи. Контейнера полностью адаптированы для </w:t>
            </w:r>
            <w:proofErr w:type="spellStart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F9EC" w14:textId="77777777" w:rsidR="008D25F3" w:rsidRDefault="008D25F3" w:rsidP="00B6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14:paraId="24EBD91D" w14:textId="48408FBA" w:rsidR="008D25F3" w:rsidRPr="0027087A" w:rsidRDefault="008D25F3" w:rsidP="008D25F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B72E7">
              <w:rPr>
                <w:rFonts w:ascii="Times New Roman" w:hAnsi="Times New Roman" w:cs="Times New Roman"/>
                <w:sz w:val="20"/>
                <w:szCs w:val="20"/>
              </w:rPr>
              <w:t>70 920,00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E895" w14:textId="4BBE1DDC" w:rsidR="008D25F3" w:rsidRPr="00F04130" w:rsidRDefault="008D25F3" w:rsidP="008D25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="00461B3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212 760,00</w:t>
            </w:r>
            <w:r w:rsidRPr="004B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D323" w14:textId="77777777" w:rsidR="008D25F3" w:rsidRDefault="008D25F3" w:rsidP="008D25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  <w:p w14:paraId="7C8B54B2" w14:textId="77777777" w:rsidR="008D25F3" w:rsidRPr="00F04130" w:rsidRDefault="008D25F3" w:rsidP="008D25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3631" w14:textId="143BB2E5" w:rsidR="008D25F3" w:rsidRPr="00F04130" w:rsidRDefault="008D25F3" w:rsidP="008D25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8D25F3" w:rsidRPr="007447E6" w14:paraId="50118091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B6BE" w14:textId="4A7E29F2" w:rsidR="008D25F3" w:rsidRDefault="008D25F3" w:rsidP="008D25F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5C8E" w14:textId="4EB56AB0" w:rsidR="008D25F3" w:rsidRPr="00B65706" w:rsidRDefault="00B65706" w:rsidP="00B6570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Контрольные растворы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A302" w14:textId="584C612D" w:rsidR="008D25F3" w:rsidRPr="00B65706" w:rsidRDefault="00B65706" w:rsidP="00B6570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3B1A" w14:textId="0538EC91" w:rsidR="008D25F3" w:rsidRPr="00B65706" w:rsidRDefault="00B65706" w:rsidP="00B6570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8725" w14:textId="77777777" w:rsidR="00B65706" w:rsidRPr="00B65706" w:rsidRDefault="00B65706" w:rsidP="00B6570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Набор контрольных растворов</w:t>
            </w:r>
          </w:p>
          <w:p w14:paraId="621D5A53" w14:textId="77777777" w:rsidR="00B65706" w:rsidRPr="00B65706" w:rsidRDefault="00B65706" w:rsidP="00B6570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 xml:space="preserve">Набор контрольных растворов предназначен для ежедневного проведения </w:t>
            </w:r>
            <w:proofErr w:type="spellStart"/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внутрилабораторного</w:t>
            </w:r>
            <w:proofErr w:type="spellEnd"/>
            <w:r w:rsidRPr="00B6570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точности изм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 xml:space="preserve">рений </w:t>
            </w:r>
            <w:proofErr w:type="gramStart"/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на приборах</w:t>
            </w:r>
            <w:proofErr w:type="gramEnd"/>
            <w:r w:rsidRPr="00B65706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использующих в работе базовые реагенты. Набор должен состоять из трех флаконов, емкостью не м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 xml:space="preserve">нее 3,5мл каждый. Контрольные растворы предоставляют проверенные контрольные 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не менее чем по восьми пар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 xml:space="preserve">метрам клинического анализа крови плюс дополнительные аналитические параметры, относящиеся к </w:t>
            </w:r>
            <w:proofErr w:type="spellStart"/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трехвершинной</w:t>
            </w:r>
            <w:proofErr w:type="spellEnd"/>
            <w:r w:rsidRPr="00B65706">
              <w:rPr>
                <w:rFonts w:ascii="Times New Roman" w:hAnsi="Times New Roman" w:cs="Times New Roman"/>
                <w:sz w:val="20"/>
                <w:szCs w:val="20"/>
              </w:rPr>
              <w:t xml:space="preserve"> кр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 xml:space="preserve">вой распределения лейкоцитов, эритроцитов и тромбоцитов.  Наличие аттестованных референтных </w:t>
            </w:r>
            <w:proofErr w:type="gramStart"/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proofErr w:type="gramEnd"/>
            <w:r w:rsidRPr="00B65706">
              <w:rPr>
                <w:rFonts w:ascii="Times New Roman" w:hAnsi="Times New Roman" w:cs="Times New Roman"/>
                <w:sz w:val="20"/>
                <w:szCs w:val="20"/>
              </w:rPr>
              <w:t xml:space="preserve"> соотве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ствующих низким, нормальным и высоким показателям указанным во вкладыше, который прилагается к набору. Дополн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 xml:space="preserve">тельно вкладыш должен иметь специальный штриховой код совместимый со считывателем для закрытой системы </w:t>
            </w:r>
          </w:p>
          <w:p w14:paraId="578410D6" w14:textId="1B1F11B9" w:rsidR="008D25F3" w:rsidRPr="00B65706" w:rsidRDefault="00B65706" w:rsidP="00B65706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5706">
              <w:rPr>
                <w:rFonts w:ascii="Times New Roman" w:hAnsi="Times New Roman" w:cs="Times New Roman"/>
                <w:sz w:val="20"/>
                <w:szCs w:val="20"/>
              </w:rPr>
              <w:t>ВС-5000 для автоматического ввода референтных параметров в память прибора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CB05" w14:textId="0AD9615F" w:rsidR="008D25F3" w:rsidRPr="0027087A" w:rsidRDefault="00B65706" w:rsidP="008D25F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121 125,00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3A29" w14:textId="6C6E6499" w:rsidR="008D25F3" w:rsidRPr="00F04130" w:rsidRDefault="00B65706" w:rsidP="008D25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121 125,00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B21D" w14:textId="77777777" w:rsidR="008D25F3" w:rsidRDefault="008D25F3" w:rsidP="008D25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  <w:p w14:paraId="51EF0B57" w14:textId="77777777" w:rsidR="008D25F3" w:rsidRPr="00F04130" w:rsidRDefault="008D25F3" w:rsidP="008D25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E2BE" w14:textId="399FE1D8" w:rsidR="008D25F3" w:rsidRPr="00F04130" w:rsidRDefault="008D25F3" w:rsidP="008D25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8D25F3" w:rsidRPr="007447E6" w14:paraId="2E6C3C03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8D25F3" w:rsidRPr="007447E6" w:rsidRDefault="008D25F3" w:rsidP="008D25F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8D25F3" w:rsidRDefault="008D25F3" w:rsidP="008D25F3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8D25F3" w:rsidRPr="0027036B" w:rsidRDefault="008D25F3" w:rsidP="008D25F3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8D25F3" w:rsidRPr="007447E6" w:rsidRDefault="008D25F3" w:rsidP="008D25F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8D25F3" w:rsidRDefault="008D25F3" w:rsidP="008D25F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8D25F3" w:rsidRPr="007447E6" w:rsidRDefault="008D25F3" w:rsidP="008D25F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8D25F3" w:rsidRPr="007447E6" w:rsidRDefault="008D25F3" w:rsidP="008D25F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4EF45988" w:rsidR="008D25F3" w:rsidRPr="00767EEF" w:rsidRDefault="00B65706" w:rsidP="008D25F3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4 335 195,00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8D25F3" w:rsidRPr="007447E6" w:rsidRDefault="008D25F3" w:rsidP="008D25F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8D25F3" w:rsidRPr="007447E6" w:rsidRDefault="008D25F3" w:rsidP="008D25F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2C0E8629" w14:textId="77777777" w:rsid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45500DA" w:rsidR="00DA7210" w:rsidRP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7A5B379B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461B34">
        <w:rPr>
          <w:rStyle w:val="a7"/>
          <w:color w:val="E36C0A" w:themeColor="accent6" w:themeShade="BF"/>
          <w:sz w:val="20"/>
          <w:szCs w:val="20"/>
          <w:lang w:val="kk-KZ"/>
        </w:rPr>
        <w:t>16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2023 г  до 10.00 часов «</w:t>
      </w:r>
      <w:r w:rsidR="00461B34">
        <w:rPr>
          <w:rStyle w:val="a7"/>
          <w:color w:val="E36C0A" w:themeColor="accent6" w:themeShade="BF"/>
          <w:sz w:val="20"/>
          <w:szCs w:val="20"/>
          <w:lang w:val="kk-KZ"/>
        </w:rPr>
        <w:t>23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этаж </w:t>
      </w:r>
      <w:bookmarkEnd w:id="2"/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бухгалтерия</w:t>
      </w:r>
    </w:p>
    <w:p w14:paraId="1C47B779" w14:textId="53E0974A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461B34">
        <w:rPr>
          <w:rStyle w:val="a7"/>
          <w:color w:val="E36C0A" w:themeColor="accent6" w:themeShade="BF"/>
          <w:sz w:val="20"/>
          <w:szCs w:val="20"/>
          <w:lang w:val="kk-KZ"/>
        </w:rPr>
        <w:t>23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 w:rsidR="003130ED">
        <w:rPr>
          <w:rStyle w:val="a7"/>
          <w:color w:val="E36C0A" w:themeColor="accent6" w:themeShade="BF"/>
          <w:sz w:val="20"/>
          <w:szCs w:val="20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1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 этаж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бухгалтерия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0DCFEA51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</w:t>
      </w:r>
      <w:r w:rsidR="00C279C7">
        <w:rPr>
          <w:color w:val="2D4359"/>
          <w:sz w:val="20"/>
          <w:szCs w:val="20"/>
          <w:lang w:val="kk-KZ"/>
        </w:rPr>
        <w:t>7 12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lastRenderedPageBreak/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3583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7087A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D4E84"/>
    <w:rsid w:val="002F0C05"/>
    <w:rsid w:val="002F0D92"/>
    <w:rsid w:val="00303C97"/>
    <w:rsid w:val="003067F7"/>
    <w:rsid w:val="00307359"/>
    <w:rsid w:val="003130ED"/>
    <w:rsid w:val="003235C6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1804"/>
    <w:rsid w:val="00461B3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36C24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422D"/>
    <w:rsid w:val="006966A4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33FC"/>
    <w:rsid w:val="007D4B13"/>
    <w:rsid w:val="007E0AED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C4B3F"/>
    <w:rsid w:val="008D25F3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328C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3FF6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5706"/>
    <w:rsid w:val="00B67A97"/>
    <w:rsid w:val="00B72EC7"/>
    <w:rsid w:val="00B73598"/>
    <w:rsid w:val="00B73B8E"/>
    <w:rsid w:val="00B8258E"/>
    <w:rsid w:val="00B845B4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9C7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D53E2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4708"/>
    <w:rsid w:val="00E9519F"/>
    <w:rsid w:val="00EA3FDD"/>
    <w:rsid w:val="00EB4CE9"/>
    <w:rsid w:val="00EB6C83"/>
    <w:rsid w:val="00EC34D8"/>
    <w:rsid w:val="00EC409F"/>
    <w:rsid w:val="00EC461C"/>
    <w:rsid w:val="00EC637A"/>
    <w:rsid w:val="00EC7DC6"/>
    <w:rsid w:val="00ED23F2"/>
    <w:rsid w:val="00ED281D"/>
    <w:rsid w:val="00ED6920"/>
    <w:rsid w:val="00ED7D6A"/>
    <w:rsid w:val="00EE1151"/>
    <w:rsid w:val="00EE59CA"/>
    <w:rsid w:val="00EE5A87"/>
    <w:rsid w:val="00EE6EE2"/>
    <w:rsid w:val="00F01965"/>
    <w:rsid w:val="00F03FE6"/>
    <w:rsid w:val="00F04130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4111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D4F66"/>
    <w:rsid w:val="00FE25AB"/>
    <w:rsid w:val="00FE5D71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link w:val="aa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b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Без интервала Знак"/>
    <w:link w:val="a9"/>
    <w:rsid w:val="003235C6"/>
  </w:style>
  <w:style w:type="paragraph" w:styleId="ae">
    <w:name w:val="annotation text"/>
    <w:basedOn w:val="a"/>
    <w:link w:val="af"/>
    <w:rsid w:val="00B6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B657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AD7D-BD27-4321-AA86-A81147A8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47</cp:revision>
  <cp:lastPrinted>2023-11-16T06:27:00Z</cp:lastPrinted>
  <dcterms:created xsi:type="dcterms:W3CDTF">2023-02-08T06:29:00Z</dcterms:created>
  <dcterms:modified xsi:type="dcterms:W3CDTF">2023-11-16T06:29:00Z</dcterms:modified>
</cp:coreProperties>
</file>