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22EFA3C0" w14:textId="7BAAA1F4" w:rsidR="00072C49" w:rsidRPr="00D72D83" w:rsidRDefault="00D72D83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1133B57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409"/>
        <w:gridCol w:w="1134"/>
        <w:gridCol w:w="851"/>
        <w:gridCol w:w="3258"/>
        <w:gridCol w:w="1842"/>
        <w:gridCol w:w="1416"/>
        <w:gridCol w:w="1417"/>
        <w:gridCol w:w="2834"/>
      </w:tblGrid>
      <w:tr w:rsidR="00F8785E" w14:paraId="0862C188" w14:textId="77777777" w:rsidTr="00CA0480">
        <w:trPr>
          <w:trHeight w:val="7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FC7E" w14:textId="77777777" w:rsidR="00F8785E" w:rsidRDefault="00F87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E2885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453960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70785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845AC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5C858E7B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EAF7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BDB6E2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1DDBF0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8B45E1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4B048B59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F8785E" w14:paraId="126FD272" w14:textId="77777777" w:rsidTr="00CA048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73CF9" w14:textId="77777777" w:rsidR="00F8785E" w:rsidRDefault="00F87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  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E9A2" w14:textId="47E2AFEB" w:rsidR="00F8785E" w:rsidRDefault="000962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2CF">
              <w:rPr>
                <w:rFonts w:ascii="Times New Roman" w:hAnsi="Times New Roman" w:cs="Times New Roman"/>
                <w:sz w:val="20"/>
                <w:szCs w:val="20"/>
              </w:rPr>
              <w:t>Регулон</w:t>
            </w:r>
            <w:proofErr w:type="spellEnd"/>
            <w:r w:rsidRPr="000962CF">
              <w:rPr>
                <w:rFonts w:ascii="Times New Roman" w:hAnsi="Times New Roman" w:cs="Times New Roman"/>
                <w:sz w:val="20"/>
                <w:szCs w:val="20"/>
              </w:rPr>
              <w:t>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C923" w14:textId="62B46460" w:rsidR="00F8785E" w:rsidRDefault="000962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E2307" w14:textId="66AFB989" w:rsidR="00F8785E" w:rsidRDefault="000962CF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1C963" w14:textId="3CA2795B" w:rsidR="00F8785E" w:rsidRPr="00182CE6" w:rsidRDefault="000962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096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аблетки, покрытые пленочной оболочкой, 0,03 мг/0,15 мг, №21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79E2C" w14:textId="403A072F" w:rsidR="00F8785E" w:rsidRPr="00182CE6" w:rsidRDefault="000962CF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1897,56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FB91" w14:textId="27750E1A" w:rsidR="00F8785E" w:rsidRDefault="000962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189 756,00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ADA2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1663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8785E" w14:paraId="42F4554B" w14:textId="77777777" w:rsidTr="00CA04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2A44" w14:textId="77777777" w:rsidR="00F8785E" w:rsidRDefault="00F8785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</w:t>
            </w:r>
          </w:p>
          <w:p w14:paraId="1A075E27" w14:textId="77777777" w:rsidR="00F8785E" w:rsidRDefault="00F878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C3C7" w14:textId="0235F6D6" w:rsidR="00CA0480" w:rsidRDefault="000962CF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962C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Лактинет®-Рихтер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7951" w14:textId="12D5B9E3" w:rsidR="00F8785E" w:rsidRDefault="00CF6B1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BCF1F7" w14:textId="7E29C0B6" w:rsidR="00F8785E" w:rsidRDefault="00CF6B14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50B4" w14:textId="38C57420" w:rsidR="00F8785E" w:rsidRDefault="00CF6B1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F6B1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Таблетки, покрытые пленочной оболочкой, 0,075 мг, № 28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DD61E" w14:textId="30871BEC" w:rsidR="00F8785E" w:rsidRPr="00CF6B14" w:rsidRDefault="00CF6B14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16BD" w14:textId="412660C9" w:rsidR="00F8785E" w:rsidRDefault="00CF6B1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440 440,00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2255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EF045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F8785E" w14:paraId="5ECDA7CD" w14:textId="77777777" w:rsidTr="00CA048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EA00" w14:textId="77777777" w:rsidR="00F8785E" w:rsidRDefault="00F878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5CDFA" w14:textId="60844CCB" w:rsidR="00F8785E" w:rsidRDefault="00CF6B14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F6B1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0B4" w14:textId="699B571B" w:rsidR="00F8785E" w:rsidRDefault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25DE8" w14:textId="0019C1E6" w:rsidR="00F8785E" w:rsidRDefault="00E95B51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9894A" w14:textId="0375ACB6" w:rsidR="00F8785E" w:rsidRPr="00C30C40" w:rsidRDefault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5B51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Таблетки, покрытые оболочкой, 3 мг/0.03 мг, №21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4A6F5" w14:textId="27A1E870" w:rsidR="00F8785E" w:rsidRDefault="00E95B51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2077,32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055B" w14:textId="199E07B3" w:rsidR="00F8785E" w:rsidRDefault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207 732,00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53BE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7837" w14:textId="77777777" w:rsidR="00F8785E" w:rsidRDefault="00F8785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CA0480" w14:paraId="37AFD5A0" w14:textId="77777777" w:rsidTr="00CA04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B4ACD" w14:textId="77777777" w:rsidR="00CA0480" w:rsidRDefault="00CA0480" w:rsidP="00CA04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6074" w14:textId="19D5966F" w:rsidR="00CA0480" w:rsidRDefault="00E95B51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95B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Резонатив™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E3501" w14:textId="669B1DFB" w:rsidR="00CA0480" w:rsidRDefault="00E95B51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95B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амп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60452AA" w14:textId="33565FCC" w:rsidR="00CA0480" w:rsidRDefault="00E95B51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E95B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1833A" w14:textId="19004377" w:rsidR="00CA0480" w:rsidRDefault="00E95B51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9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для внутримышечных инъекций, 625 МЕ/мл, 1 мл, №1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420DC" w14:textId="1F985988" w:rsidR="00CA0480" w:rsidRDefault="00E95B51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28 594,95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D7B20" w14:textId="07D110B9" w:rsidR="00CA0480" w:rsidRDefault="00E95B51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571 899,00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6758" w14:textId="77777777" w:rsidR="00CA0480" w:rsidRDefault="00CA0480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8A64" w14:textId="77777777" w:rsidR="00CA0480" w:rsidRDefault="00CA0480" w:rsidP="00CA0480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E95B51" w14:paraId="296E3145" w14:textId="77777777" w:rsidTr="00CA04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7306" w14:textId="727B0150" w:rsidR="00E95B51" w:rsidRDefault="00E95B51" w:rsidP="00E95B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48A77" w14:textId="6E37EC8E" w:rsidR="00E95B51" w:rsidRPr="00E95B51" w:rsidRDefault="00E95B51" w:rsidP="00E95B51">
            <w:pPr>
              <w:pStyle w:val="a9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5B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Внутриматочная спираль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0D68A" w14:textId="18DEC1E7" w:rsidR="00E95B51" w:rsidRPr="00E95B51" w:rsidRDefault="00E95B51" w:rsidP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92347C6" w14:textId="36F897EF" w:rsidR="00E95B51" w:rsidRPr="00E95B51" w:rsidRDefault="00E95B51" w:rsidP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53006" w14:textId="5FC72086" w:rsidR="00E95B51" w:rsidRPr="00E95B51" w:rsidRDefault="00E95B51" w:rsidP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Внутриматочная спираль состоит из спирали, усиков, подвижного ограничителя, проводника для введения спирали и </w:t>
            </w:r>
            <w:proofErr w:type="spellStart"/>
            <w:r w:rsidRPr="00E9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бранши</w:t>
            </w:r>
            <w:proofErr w:type="spellEnd"/>
            <w:r w:rsidRPr="00E9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проводника. Внутриматочная спираль содержит примерно 310 мг меди. Общая поверхность меди составляет 380±23 мм2.  Внутриматочная спираль препятствует наступлению беременности благодаря своему свойству сгущать слизь, вырабатыв</w:t>
            </w:r>
            <w:bookmarkStart w:id="1" w:name="_GoBack"/>
            <w:bookmarkEnd w:id="1"/>
            <w:r w:rsidRPr="00E95B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аемую в канале шейки матки, в результате чего затрудняется продвижение сперматозоидов к яйцеклетке и оплодотворение. Внутриматочное противозачаточное средство (ВМС). Применяется в гинекологии для контрацепции.   Только для однократного применения. Стерилизована этилен оксидом.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03FC2" w14:textId="7F228C87" w:rsidR="00E95B51" w:rsidRDefault="00E95B51" w:rsidP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643,80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A654" w14:textId="58703474" w:rsidR="00E95B51" w:rsidRDefault="00E95B51" w:rsidP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193 140,00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BCED7" w14:textId="27BF980E" w:rsidR="00E95B51" w:rsidRDefault="00E95B51" w:rsidP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заявке Заказчика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DE47" w14:textId="7C3924B4" w:rsidR="00E95B51" w:rsidRDefault="00E95B51" w:rsidP="00E95B5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Актюбинская область, город Актобе,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Каргалинское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Кургулова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 Б</w:t>
            </w:r>
          </w:p>
        </w:tc>
      </w:tr>
      <w:tr w:rsidR="00E95B51" w14:paraId="0DA743B9" w14:textId="77777777" w:rsidTr="00CA0480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EEFA" w14:textId="77777777" w:rsidR="00E95B51" w:rsidRDefault="00E95B51" w:rsidP="00E95B5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AFBB" w14:textId="77777777" w:rsidR="00E95B51" w:rsidRDefault="00E95B51" w:rsidP="00E95B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D7AA4" w14:textId="77777777" w:rsidR="00E95B51" w:rsidRDefault="00E95B51" w:rsidP="00E95B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6BA05" w14:textId="77777777" w:rsidR="00E95B51" w:rsidRDefault="00E95B51" w:rsidP="00E95B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B46DB" w14:textId="77777777" w:rsidR="00E95B51" w:rsidRDefault="00E95B51" w:rsidP="00E9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7A0EC2" w14:textId="77777777" w:rsidR="00E95B51" w:rsidRDefault="00E95B51" w:rsidP="00E9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0217" w14:textId="44753938" w:rsidR="00E95B51" w:rsidRDefault="00E95B51" w:rsidP="00E9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1 602 967,00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0F7D" w14:textId="77777777" w:rsidR="00E95B51" w:rsidRDefault="00E95B51" w:rsidP="00E9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  <w:p w14:paraId="1324EDCD" w14:textId="77777777" w:rsidR="00E95B51" w:rsidRDefault="00E95B51" w:rsidP="00E9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E94" w14:textId="77777777" w:rsidR="00E95B51" w:rsidRDefault="00E95B51" w:rsidP="00E95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</w:tr>
    </w:tbl>
    <w:p w14:paraId="2069D845" w14:textId="77777777" w:rsidR="00A81C4F" w:rsidRDefault="00A81C4F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u w:val="single"/>
        </w:rPr>
      </w:pPr>
    </w:p>
    <w:p w14:paraId="1FBF66F4" w14:textId="77777777" w:rsidR="00A81C4F" w:rsidRDefault="00A81C4F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u w:val="single"/>
        </w:rPr>
      </w:pPr>
    </w:p>
    <w:p w14:paraId="21E077DB" w14:textId="77777777" w:rsidR="00A81C4F" w:rsidRDefault="00A81C4F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u w:val="single"/>
        </w:rPr>
      </w:pPr>
    </w:p>
    <w:p w14:paraId="2C0E8629" w14:textId="0CDD53B1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32066042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B0065E" w:rsidRPr="00B0065E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00FFC4BE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lastRenderedPageBreak/>
        <w:t>Срок представления ценовых предложений с «</w:t>
      </w:r>
      <w:r w:rsidR="00A81C4F">
        <w:rPr>
          <w:rStyle w:val="a7"/>
          <w:color w:val="E36C0A" w:themeColor="accent6" w:themeShade="BF"/>
          <w:sz w:val="18"/>
          <w:szCs w:val="18"/>
          <w:lang w:val="kk-KZ"/>
        </w:rPr>
        <w:t>21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FD75B7">
        <w:rPr>
          <w:rStyle w:val="a7"/>
          <w:color w:val="E36C0A" w:themeColor="accent6" w:themeShade="BF"/>
          <w:sz w:val="18"/>
          <w:szCs w:val="18"/>
          <w:lang w:val="kk-KZ"/>
        </w:rPr>
        <w:t>февраля</w:t>
      </w:r>
      <w:r w:rsidR="00053583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</w:t>
      </w:r>
      <w:r w:rsidR="00A81C4F">
        <w:rPr>
          <w:rStyle w:val="a7"/>
          <w:color w:val="E36C0A" w:themeColor="accent6" w:themeShade="BF"/>
          <w:sz w:val="18"/>
          <w:szCs w:val="18"/>
          <w:lang w:val="kk-KZ"/>
        </w:rPr>
        <w:t>09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E95B51">
        <w:rPr>
          <w:rStyle w:val="a7"/>
          <w:color w:val="E36C0A" w:themeColor="accent6" w:themeShade="BF"/>
          <w:sz w:val="18"/>
          <w:szCs w:val="18"/>
          <w:lang w:val="kk-KZ"/>
        </w:rPr>
        <w:t>30</w:t>
      </w:r>
      <w:r w:rsidRPr="00EA5545">
        <w:rPr>
          <w:rStyle w:val="a7"/>
          <w:color w:val="E36C0A" w:themeColor="accent6" w:themeShade="BF"/>
          <w:sz w:val="18"/>
          <w:szCs w:val="18"/>
        </w:rPr>
        <w:t>часов «</w:t>
      </w:r>
      <w:r w:rsidR="00E21B8E">
        <w:rPr>
          <w:rStyle w:val="a7"/>
          <w:color w:val="E36C0A" w:themeColor="accent6" w:themeShade="BF"/>
          <w:sz w:val="18"/>
          <w:szCs w:val="18"/>
          <w:lang w:val="kk-KZ"/>
        </w:rPr>
        <w:t>2</w:t>
      </w:r>
      <w:r w:rsidR="00A81C4F">
        <w:rPr>
          <w:rStyle w:val="a7"/>
          <w:color w:val="E36C0A" w:themeColor="accent6" w:themeShade="BF"/>
          <w:sz w:val="18"/>
          <w:szCs w:val="18"/>
          <w:lang w:val="kk-KZ"/>
        </w:rPr>
        <w:t>8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>февраля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2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2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18DB2D49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Конверты с заявками будут вскрываться в</w:t>
      </w:r>
      <w:r w:rsidR="00A81C4F">
        <w:rPr>
          <w:rStyle w:val="a7"/>
          <w:color w:val="E36C0A" w:themeColor="accent6" w:themeShade="BF"/>
          <w:sz w:val="18"/>
          <w:szCs w:val="18"/>
          <w:lang w:val="kk-KZ"/>
        </w:rPr>
        <w:t>10</w:t>
      </w:r>
      <w:r w:rsidR="00FD75B7">
        <w:rPr>
          <w:rStyle w:val="a7"/>
          <w:color w:val="E36C0A" w:themeColor="accent6" w:themeShade="BF"/>
          <w:sz w:val="18"/>
          <w:szCs w:val="18"/>
          <w:lang w:val="kk-KZ"/>
        </w:rPr>
        <w:t>.</w:t>
      </w:r>
      <w:r w:rsidR="00E95B51">
        <w:rPr>
          <w:rStyle w:val="a7"/>
          <w:color w:val="E36C0A" w:themeColor="accent6" w:themeShade="BF"/>
          <w:sz w:val="18"/>
          <w:szCs w:val="18"/>
          <w:lang w:val="kk-KZ"/>
        </w:rPr>
        <w:t>30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A81C4F">
        <w:rPr>
          <w:rStyle w:val="a7"/>
          <w:color w:val="E36C0A" w:themeColor="accent6" w:themeShade="BF"/>
          <w:sz w:val="18"/>
          <w:szCs w:val="18"/>
          <w:lang w:val="kk-KZ"/>
        </w:rPr>
        <w:t>28</w:t>
      </w:r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D01F36">
        <w:rPr>
          <w:rStyle w:val="a7"/>
          <w:color w:val="E36C0A" w:themeColor="accent6" w:themeShade="BF"/>
          <w:sz w:val="18"/>
          <w:szCs w:val="18"/>
          <w:lang w:val="kk-KZ"/>
        </w:rPr>
        <w:t xml:space="preserve">февраля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4D18FF76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</w:t>
      </w:r>
      <w:r w:rsidR="00FD75B7">
        <w:rPr>
          <w:rFonts w:ascii="Times New Roman" w:hAnsi="Times New Roman" w:cs="Times New Roman"/>
          <w:sz w:val="18"/>
          <w:szCs w:val="18"/>
          <w:lang w:val="kk-KZ"/>
        </w:rPr>
        <w:t>Байкадамова А.А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2CF"/>
    <w:rsid w:val="00096CEA"/>
    <w:rsid w:val="00097CCF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14994"/>
    <w:rsid w:val="0012258A"/>
    <w:rsid w:val="0012469F"/>
    <w:rsid w:val="00127BA0"/>
    <w:rsid w:val="0013276E"/>
    <w:rsid w:val="0013792B"/>
    <w:rsid w:val="00145544"/>
    <w:rsid w:val="00157FE4"/>
    <w:rsid w:val="0016256C"/>
    <w:rsid w:val="00162EB0"/>
    <w:rsid w:val="00164173"/>
    <w:rsid w:val="00165F34"/>
    <w:rsid w:val="0017024A"/>
    <w:rsid w:val="00170590"/>
    <w:rsid w:val="00173064"/>
    <w:rsid w:val="001749E9"/>
    <w:rsid w:val="00182CE6"/>
    <w:rsid w:val="00191349"/>
    <w:rsid w:val="00193553"/>
    <w:rsid w:val="001967CC"/>
    <w:rsid w:val="001A1738"/>
    <w:rsid w:val="001A54AF"/>
    <w:rsid w:val="001A589A"/>
    <w:rsid w:val="001A67D6"/>
    <w:rsid w:val="001B1ABF"/>
    <w:rsid w:val="001C7FB9"/>
    <w:rsid w:val="001D3F9F"/>
    <w:rsid w:val="001E2F85"/>
    <w:rsid w:val="001E668B"/>
    <w:rsid w:val="001F0A20"/>
    <w:rsid w:val="001F257C"/>
    <w:rsid w:val="00201095"/>
    <w:rsid w:val="00201F5A"/>
    <w:rsid w:val="00214DAE"/>
    <w:rsid w:val="00216406"/>
    <w:rsid w:val="00216449"/>
    <w:rsid w:val="002230A1"/>
    <w:rsid w:val="00225BBE"/>
    <w:rsid w:val="002315EF"/>
    <w:rsid w:val="00231AF0"/>
    <w:rsid w:val="00233A60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3C97"/>
    <w:rsid w:val="003067F7"/>
    <w:rsid w:val="00307359"/>
    <w:rsid w:val="003130ED"/>
    <w:rsid w:val="00322BAA"/>
    <w:rsid w:val="003235C6"/>
    <w:rsid w:val="00345EB1"/>
    <w:rsid w:val="00364E56"/>
    <w:rsid w:val="00371707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D4A9A"/>
    <w:rsid w:val="003E0B31"/>
    <w:rsid w:val="003F053C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096C"/>
    <w:rsid w:val="00461804"/>
    <w:rsid w:val="00461878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137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05FC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3D88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40AA"/>
    <w:rsid w:val="0091755B"/>
    <w:rsid w:val="00917B74"/>
    <w:rsid w:val="00931AEE"/>
    <w:rsid w:val="0093222D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1C4F"/>
    <w:rsid w:val="00A841FF"/>
    <w:rsid w:val="00A86874"/>
    <w:rsid w:val="00A91842"/>
    <w:rsid w:val="00A92B78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4257"/>
    <w:rsid w:val="00AF6A9D"/>
    <w:rsid w:val="00AF7F6B"/>
    <w:rsid w:val="00B0065E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B06C7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0C40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480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B14"/>
    <w:rsid w:val="00CF6DE0"/>
    <w:rsid w:val="00D01F36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B0028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21B8E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95B51"/>
    <w:rsid w:val="00EA32B1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4CB"/>
    <w:rsid w:val="00F66A3D"/>
    <w:rsid w:val="00F671F2"/>
    <w:rsid w:val="00F842C7"/>
    <w:rsid w:val="00F8785E"/>
    <w:rsid w:val="00F948CA"/>
    <w:rsid w:val="00FA752F"/>
    <w:rsid w:val="00FC78E8"/>
    <w:rsid w:val="00FD342B"/>
    <w:rsid w:val="00FD3FC3"/>
    <w:rsid w:val="00FD4F66"/>
    <w:rsid w:val="00FD75B7"/>
    <w:rsid w:val="00FE25AB"/>
    <w:rsid w:val="00FE2D83"/>
    <w:rsid w:val="00FE5D71"/>
    <w:rsid w:val="00FF0A57"/>
    <w:rsid w:val="00FF2086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uiPriority w:val="1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1AA0-773B-4956-ADF1-E8035BC04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81</cp:revision>
  <cp:lastPrinted>2024-02-21T10:23:00Z</cp:lastPrinted>
  <dcterms:created xsi:type="dcterms:W3CDTF">2023-02-08T06:29:00Z</dcterms:created>
  <dcterms:modified xsi:type="dcterms:W3CDTF">2024-02-21T10:23:00Z</dcterms:modified>
</cp:coreProperties>
</file>