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1F9E9CBC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22EFA3C0" w14:textId="7BAAA1F4" w:rsidR="00072C49" w:rsidRPr="00D72D83" w:rsidRDefault="00D72D83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Главный врач</w:t>
      </w:r>
    </w:p>
    <w:p w14:paraId="054500B8" w14:textId="1133B572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bookmarkEnd w:id="0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proofErr w:type="gramEnd"/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D6DB77B" w14:textId="75AB2D68" w:rsidR="004627A1" w:rsidRPr="00461804" w:rsidRDefault="004627A1" w:rsidP="0046180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524C5D9" w14:textId="443D9A00" w:rsidR="007C220C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 xml:space="preserve">» на ПХВ 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072C49" w:rsidRPr="00865420">
        <w:rPr>
          <w:rFonts w:ascii="Times New Roman" w:hAnsi="Times New Roman" w:cs="Times New Roman"/>
          <w:sz w:val="20"/>
          <w:szCs w:val="20"/>
        </w:rPr>
        <w:t>Приказ Министра здравоохранения Республики Казахстан от 7 июня 2023 года № 110</w:t>
      </w:r>
      <w:r w:rsidR="00072C49">
        <w:rPr>
          <w:rFonts w:ascii="Times New Roman" w:hAnsi="Times New Roman" w:cs="Times New Roman"/>
          <w:sz w:val="20"/>
          <w:szCs w:val="20"/>
        </w:rPr>
        <w:t xml:space="preserve">  </w:t>
      </w:r>
      <w:r w:rsidR="00072C49" w:rsidRPr="00865420">
        <w:rPr>
          <w:rFonts w:ascii="Times New Roman" w:hAnsi="Times New Roman" w:cs="Times New Roman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p w14:paraId="0A49DA4E" w14:textId="77777777" w:rsidR="00053583" w:rsidRPr="0012258A" w:rsidRDefault="00053583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37"/>
        <w:gridCol w:w="851"/>
        <w:gridCol w:w="5528"/>
        <w:gridCol w:w="1418"/>
        <w:gridCol w:w="1417"/>
        <w:gridCol w:w="1105"/>
        <w:gridCol w:w="1701"/>
      </w:tblGrid>
      <w:tr w:rsidR="001C7FB9" w:rsidRPr="007447E6" w14:paraId="12B41B8D" w14:textId="77777777" w:rsidTr="00B645D8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68C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B83E" w14:textId="65ADB340" w:rsidR="001C7FB9" w:rsidRPr="007447E6" w:rsidRDefault="00AE6157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0521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9E53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AC01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Технические характеристика</w:t>
            </w:r>
          </w:p>
          <w:p w14:paraId="6378794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EF8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Цена за единицу, тенге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AF0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выделенная на закуп, тенге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AFCE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поставки</w:t>
            </w:r>
          </w:p>
          <w:p w14:paraId="24474AC7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C7F12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Место</w:t>
            </w:r>
          </w:p>
          <w:p w14:paraId="2073BA05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поставки</w:t>
            </w:r>
          </w:p>
        </w:tc>
      </w:tr>
      <w:tr w:rsidR="00291A77" w:rsidRPr="003D4A9A" w14:paraId="7D99EC35" w14:textId="77777777" w:rsidTr="00B645D8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6214" w14:textId="7E9DC42F" w:rsidR="00291A77" w:rsidRPr="00D72D83" w:rsidRDefault="00291A77" w:rsidP="00291A7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D501" w14:textId="25446361" w:rsidR="003D4A9A" w:rsidRPr="003D4A9A" w:rsidRDefault="003D4A9A" w:rsidP="003D4A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D4A9A">
              <w:rPr>
                <w:rFonts w:ascii="Times New Roman" w:hAnsi="Times New Roman" w:cs="Times New Roman"/>
                <w:sz w:val="18"/>
                <w:szCs w:val="18"/>
              </w:rPr>
              <w:t xml:space="preserve">Облучатель </w:t>
            </w:r>
            <w:proofErr w:type="spellStart"/>
            <w:r w:rsidRPr="003D4A9A">
              <w:rPr>
                <w:rFonts w:ascii="Times New Roman" w:hAnsi="Times New Roman" w:cs="Times New Roman"/>
                <w:sz w:val="18"/>
                <w:szCs w:val="18"/>
              </w:rPr>
              <w:t>фототерапевтический</w:t>
            </w:r>
            <w:proofErr w:type="spellEnd"/>
            <w:r w:rsidRPr="003D4A9A">
              <w:rPr>
                <w:rFonts w:ascii="Times New Roman" w:hAnsi="Times New Roman" w:cs="Times New Roman"/>
                <w:sz w:val="18"/>
                <w:szCs w:val="18"/>
              </w:rPr>
              <w:t xml:space="preserve"> для лечения желтухи новорожденных ОФТН-420/470-02 </w:t>
            </w:r>
          </w:p>
          <w:p w14:paraId="08464374" w14:textId="6DACD4EE" w:rsidR="00291A77" w:rsidRPr="003D4A9A" w:rsidRDefault="00291A77" w:rsidP="003D4A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76BD" w14:textId="3FD88AE1" w:rsidR="00291A77" w:rsidRPr="003D4A9A" w:rsidRDefault="003D4A9A" w:rsidP="003D4A9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D4A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E09B" w14:textId="7154A94F" w:rsidR="00291A77" w:rsidRPr="003D4A9A" w:rsidRDefault="003D4A9A" w:rsidP="003D4A9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D4A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E506F" w14:textId="77777777" w:rsidR="003D4A9A" w:rsidRPr="003D4A9A" w:rsidRDefault="003D4A9A" w:rsidP="003D4A9A">
            <w:pPr>
              <w:pStyle w:val="a9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</w:pP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 xml:space="preserve">Устройство предназначено для облучения новорожденного лучами синего света с максимальной спектральной интенсивностью в диапазоне от 450 до 465 </w:t>
            </w:r>
            <w:proofErr w:type="spellStart"/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нм</w:t>
            </w:r>
            <w:proofErr w:type="spellEnd"/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. Источником световых лучей являются светодиоды.</w:t>
            </w:r>
          </w:p>
          <w:p w14:paraId="7260B7C5" w14:textId="048B382A" w:rsidR="003D4A9A" w:rsidRPr="003D4A9A" w:rsidRDefault="003D4A9A" w:rsidP="003D4A9A">
            <w:pPr>
              <w:pStyle w:val="a9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</w:pP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Применяется в родильных домах, перинатальных центрах и в отделениях интенсивной терапии.</w:t>
            </w:r>
          </w:p>
          <w:p w14:paraId="6BF66831" w14:textId="50438674" w:rsidR="003D4A9A" w:rsidRPr="003D4A9A" w:rsidRDefault="003D4A9A" w:rsidP="003D4A9A">
            <w:pPr>
              <w:pStyle w:val="a9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val="kk-KZ"/>
              </w:rPr>
            </w:pP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Гарантия на оборудование</w:t>
            </w: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val="kk-KZ"/>
              </w:rPr>
              <w:t xml:space="preserve"> </w:t>
            </w: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12 месяцев с даты продажи, но не более 24 месяцев с даты изготовления</w:t>
            </w:r>
          </w:p>
          <w:p w14:paraId="650465BA" w14:textId="77777777" w:rsidR="003D4A9A" w:rsidRPr="003D4A9A" w:rsidRDefault="003D4A9A" w:rsidP="003D4A9A">
            <w:pPr>
              <w:pStyle w:val="a9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</w:pP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Напряжение питания</w:t>
            </w:r>
          </w:p>
          <w:p w14:paraId="74BF81C9" w14:textId="77777777" w:rsidR="003D4A9A" w:rsidRPr="003D4A9A" w:rsidRDefault="003D4A9A" w:rsidP="003D4A9A">
            <w:pPr>
              <w:pStyle w:val="a9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</w:pP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(220±</w:t>
            </w:r>
            <w:proofErr w:type="gramStart"/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22)В</w:t>
            </w:r>
            <w:proofErr w:type="gramEnd"/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, (50±1)Гц</w:t>
            </w:r>
          </w:p>
          <w:p w14:paraId="71E2E777" w14:textId="77777777" w:rsidR="003D4A9A" w:rsidRPr="003D4A9A" w:rsidRDefault="003D4A9A" w:rsidP="003D4A9A">
            <w:pPr>
              <w:pStyle w:val="a9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</w:pP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Полная потребляемая мощность, ВА, не более</w:t>
            </w:r>
          </w:p>
          <w:p w14:paraId="28D6AC5B" w14:textId="77777777" w:rsidR="003D4A9A" w:rsidRPr="003D4A9A" w:rsidRDefault="003D4A9A" w:rsidP="003D4A9A">
            <w:pPr>
              <w:pStyle w:val="a9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</w:pP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45</w:t>
            </w:r>
          </w:p>
          <w:p w14:paraId="4E9ED6BB" w14:textId="77777777" w:rsidR="003D4A9A" w:rsidRPr="003D4A9A" w:rsidRDefault="003D4A9A" w:rsidP="003D4A9A">
            <w:pPr>
              <w:pStyle w:val="a9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</w:pP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 xml:space="preserve">Диапазон длины волны источника света, </w:t>
            </w:r>
            <w:proofErr w:type="spellStart"/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нм</w:t>
            </w:r>
            <w:proofErr w:type="spellEnd"/>
          </w:p>
          <w:p w14:paraId="3EA09C33" w14:textId="77777777" w:rsidR="003D4A9A" w:rsidRPr="003D4A9A" w:rsidRDefault="003D4A9A" w:rsidP="003D4A9A">
            <w:pPr>
              <w:pStyle w:val="a9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</w:pP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450 - 465</w:t>
            </w:r>
          </w:p>
          <w:p w14:paraId="32952952" w14:textId="77777777" w:rsidR="003D4A9A" w:rsidRPr="003D4A9A" w:rsidRDefault="003D4A9A" w:rsidP="003D4A9A">
            <w:pPr>
              <w:pStyle w:val="a9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</w:pP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Источник световых лучей</w:t>
            </w:r>
          </w:p>
          <w:p w14:paraId="1F5EEBA2" w14:textId="77777777" w:rsidR="003D4A9A" w:rsidRPr="003D4A9A" w:rsidRDefault="003D4A9A" w:rsidP="003D4A9A">
            <w:pPr>
              <w:pStyle w:val="a9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</w:pP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6 сверхъярких светодиодов</w:t>
            </w:r>
          </w:p>
          <w:p w14:paraId="17826C36" w14:textId="77777777" w:rsidR="003D4A9A" w:rsidRPr="003D4A9A" w:rsidRDefault="003D4A9A" w:rsidP="003D4A9A">
            <w:pPr>
              <w:pStyle w:val="a9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</w:pP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Продолжительность сеанса</w:t>
            </w:r>
          </w:p>
          <w:p w14:paraId="017E1C9A" w14:textId="77777777" w:rsidR="003D4A9A" w:rsidRPr="003D4A9A" w:rsidRDefault="003D4A9A" w:rsidP="003D4A9A">
            <w:pPr>
              <w:pStyle w:val="a9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</w:pP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lastRenderedPageBreak/>
              <w:t>До 99 ч 59 мин</w:t>
            </w:r>
          </w:p>
          <w:p w14:paraId="5E1BF046" w14:textId="77777777" w:rsidR="003D4A9A" w:rsidRPr="003D4A9A" w:rsidRDefault="003D4A9A" w:rsidP="003D4A9A">
            <w:pPr>
              <w:pStyle w:val="a9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</w:pP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Дискретность установки продолжительности сеанса, мин</w:t>
            </w:r>
          </w:p>
          <w:p w14:paraId="70DD8D56" w14:textId="77777777" w:rsidR="003D4A9A" w:rsidRPr="003D4A9A" w:rsidRDefault="003D4A9A" w:rsidP="003D4A9A">
            <w:pPr>
              <w:pStyle w:val="a9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</w:pP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1</w:t>
            </w:r>
          </w:p>
          <w:p w14:paraId="7E8414B9" w14:textId="77777777" w:rsidR="003D4A9A" w:rsidRPr="003D4A9A" w:rsidRDefault="003D4A9A" w:rsidP="003D4A9A">
            <w:pPr>
              <w:pStyle w:val="a9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</w:pP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Время установления рабочего режима, с, не более</w:t>
            </w:r>
          </w:p>
          <w:p w14:paraId="2C1C0068" w14:textId="77777777" w:rsidR="003D4A9A" w:rsidRPr="003D4A9A" w:rsidRDefault="003D4A9A" w:rsidP="003D4A9A">
            <w:pPr>
              <w:pStyle w:val="a9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</w:pP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10</w:t>
            </w:r>
          </w:p>
          <w:p w14:paraId="494871B8" w14:textId="77777777" w:rsidR="003D4A9A" w:rsidRPr="003D4A9A" w:rsidRDefault="003D4A9A" w:rsidP="003D4A9A">
            <w:pPr>
              <w:pStyle w:val="a9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</w:pP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Интенсивность излучения на расстоянии 400 мм от блока облучения до новорожденного, мкВт/см2</w:t>
            </w:r>
          </w:p>
          <w:p w14:paraId="7B3F74CF" w14:textId="77777777" w:rsidR="003D4A9A" w:rsidRPr="003D4A9A" w:rsidRDefault="003D4A9A" w:rsidP="003D4A9A">
            <w:pPr>
              <w:pStyle w:val="a9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</w:pP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2200±550</w:t>
            </w:r>
          </w:p>
          <w:p w14:paraId="4C7128A7" w14:textId="77777777" w:rsidR="003D4A9A" w:rsidRPr="003D4A9A" w:rsidRDefault="003D4A9A" w:rsidP="003D4A9A">
            <w:pPr>
              <w:pStyle w:val="a9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</w:pPr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 xml:space="preserve">Интенсивность излучения на </w:t>
            </w:r>
            <w:proofErr w:type="gramStart"/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>расстоянии  800</w:t>
            </w:r>
            <w:proofErr w:type="gramEnd"/>
            <w:r w:rsidRPr="003D4A9A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</w:rPr>
              <w:t xml:space="preserve"> мм от блока облучения до новорожденного, мкВт/см2</w:t>
            </w:r>
          </w:p>
          <w:p w14:paraId="6C194544" w14:textId="531F9311" w:rsidR="00291A77" w:rsidRPr="003D4A9A" w:rsidRDefault="00291A77" w:rsidP="003D4A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20CA" w14:textId="16FEFBAA" w:rsidR="00291A77" w:rsidRPr="003D4A9A" w:rsidRDefault="003D4A9A" w:rsidP="00291A7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D4A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850 000,00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AC30" w14:textId="64EDC6ED" w:rsidR="00291A77" w:rsidRPr="003D4A9A" w:rsidRDefault="003D4A9A" w:rsidP="00291A7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D4A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1 700 000,00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A03B" w14:textId="78659A48" w:rsidR="00291A77" w:rsidRPr="003D4A9A" w:rsidRDefault="003D4A9A" w:rsidP="00291A7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D4A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заявке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B566" w14:textId="6B66B27A" w:rsidR="00291A77" w:rsidRPr="003D4A9A" w:rsidRDefault="003D4A9A" w:rsidP="00291A77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9A">
              <w:rPr>
                <w:rStyle w:val="a7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г Актобе, ул. </w:t>
            </w:r>
            <w:r w:rsidRPr="003D4A9A">
              <w:rPr>
                <w:rStyle w:val="a7"/>
                <w:rFonts w:ascii="Times New Roman" w:hAnsi="Times New Roman" w:cs="Times New Roman"/>
                <w:b w:val="0"/>
                <w:bCs w:val="0"/>
                <w:sz w:val="18"/>
                <w:szCs w:val="18"/>
                <w:lang w:val="kk-KZ"/>
              </w:rPr>
              <w:t>Кургулова 19Б</w:t>
            </w:r>
          </w:p>
        </w:tc>
      </w:tr>
      <w:tr w:rsidR="00291A77" w:rsidRPr="007447E6" w14:paraId="2E6C3C03" w14:textId="77777777" w:rsidTr="00B645D8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9575" w14:textId="77777777" w:rsidR="00291A77" w:rsidRPr="007447E6" w:rsidRDefault="00291A77" w:rsidP="00291A7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49A" w14:textId="77777777" w:rsidR="00291A77" w:rsidRDefault="00291A77" w:rsidP="00291A77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703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ИТОГО</w:t>
            </w:r>
          </w:p>
          <w:p w14:paraId="61CCA13D" w14:textId="6E62019F" w:rsidR="00291A77" w:rsidRPr="0027036B" w:rsidRDefault="00291A77" w:rsidP="00291A77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8532" w14:textId="77777777" w:rsidR="00291A77" w:rsidRPr="007447E6" w:rsidRDefault="00291A77" w:rsidP="00291A77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6F16" w14:textId="77777777" w:rsidR="00291A77" w:rsidRDefault="00291A77" w:rsidP="00291A77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E6101" w14:textId="77777777" w:rsidR="00291A77" w:rsidRPr="007447E6" w:rsidRDefault="00291A77" w:rsidP="00291A77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552D" w14:textId="77777777" w:rsidR="00291A77" w:rsidRPr="007447E6" w:rsidRDefault="00291A77" w:rsidP="00291A7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9C2E" w14:textId="0EBCD26E" w:rsidR="00291A77" w:rsidRPr="00291A77" w:rsidRDefault="003D4A9A" w:rsidP="00291A77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1 700 000,00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5BDD" w14:textId="77777777" w:rsidR="00291A77" w:rsidRPr="007447E6" w:rsidRDefault="00291A77" w:rsidP="00291A7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0E3E" w14:textId="77777777" w:rsidR="00291A77" w:rsidRPr="007447E6" w:rsidRDefault="00291A77" w:rsidP="00291A7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527F7E" w14:textId="77777777" w:rsidR="00B0559F" w:rsidRPr="001C7FB9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  <w:lang w:val="kk-KZ"/>
        </w:rPr>
      </w:pPr>
    </w:p>
    <w:p w14:paraId="5426F5A9" w14:textId="77777777" w:rsidR="00461804" w:rsidRDefault="00461804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u w:val="single"/>
        </w:rPr>
      </w:pPr>
    </w:p>
    <w:p w14:paraId="2C0E8629" w14:textId="77777777" w:rsidR="00053583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45500DA" w:rsidR="00DA7210" w:rsidRPr="00053583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1DBE75C" w14:textId="0F132A2D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3D4A9A">
        <w:rPr>
          <w:rStyle w:val="a7"/>
          <w:color w:val="E36C0A" w:themeColor="accent6" w:themeShade="BF"/>
          <w:sz w:val="20"/>
          <w:szCs w:val="20"/>
          <w:lang w:val="kk-KZ"/>
        </w:rPr>
        <w:t>07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291A77">
        <w:rPr>
          <w:rStyle w:val="a7"/>
          <w:color w:val="E36C0A" w:themeColor="accent6" w:themeShade="BF"/>
          <w:sz w:val="20"/>
          <w:szCs w:val="20"/>
          <w:lang w:val="kk-KZ"/>
        </w:rPr>
        <w:t>декабря</w:t>
      </w:r>
      <w:r w:rsidR="00053583">
        <w:rPr>
          <w:rStyle w:val="a7"/>
          <w:color w:val="E36C0A" w:themeColor="accent6" w:themeShade="BF"/>
          <w:sz w:val="20"/>
          <w:szCs w:val="20"/>
          <w:lang w:val="kk-KZ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>2023 г  до 10.00 часов «</w:t>
      </w:r>
      <w:r w:rsidR="00291A77">
        <w:rPr>
          <w:rStyle w:val="a7"/>
          <w:color w:val="E36C0A" w:themeColor="accent6" w:themeShade="BF"/>
          <w:sz w:val="20"/>
          <w:szCs w:val="20"/>
          <w:lang w:val="kk-KZ"/>
        </w:rPr>
        <w:t>1</w:t>
      </w:r>
      <w:r w:rsidR="003D4A9A">
        <w:rPr>
          <w:rStyle w:val="a7"/>
          <w:color w:val="E36C0A" w:themeColor="accent6" w:themeShade="BF"/>
          <w:sz w:val="20"/>
          <w:szCs w:val="20"/>
          <w:lang w:val="kk-KZ"/>
        </w:rPr>
        <w:t>4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A86874">
        <w:rPr>
          <w:rStyle w:val="a7"/>
          <w:color w:val="E36C0A" w:themeColor="accent6" w:themeShade="BF"/>
          <w:sz w:val="20"/>
          <w:szCs w:val="20"/>
          <w:lang w:val="kk-KZ"/>
        </w:rPr>
        <w:t>декабря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1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1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 этаж </w:t>
      </w:r>
      <w:bookmarkEnd w:id="1"/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бухгалтерия</w:t>
      </w:r>
    </w:p>
    <w:p w14:paraId="1C47B779" w14:textId="2627764B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291A77">
        <w:rPr>
          <w:rStyle w:val="a7"/>
          <w:color w:val="E36C0A" w:themeColor="accent6" w:themeShade="BF"/>
          <w:sz w:val="20"/>
          <w:szCs w:val="20"/>
          <w:lang w:val="kk-KZ"/>
        </w:rPr>
        <w:t>1</w:t>
      </w:r>
      <w:r w:rsidR="003D4A9A">
        <w:rPr>
          <w:rStyle w:val="a7"/>
          <w:color w:val="E36C0A" w:themeColor="accent6" w:themeShade="BF"/>
          <w:sz w:val="20"/>
          <w:szCs w:val="20"/>
          <w:lang w:val="kk-KZ"/>
        </w:rPr>
        <w:t>4</w:t>
      </w:r>
      <w:bookmarkStart w:id="2" w:name="_GoBack"/>
      <w:bookmarkEnd w:id="2"/>
      <w:r>
        <w:rPr>
          <w:rStyle w:val="a7"/>
          <w:color w:val="E36C0A" w:themeColor="accent6" w:themeShade="BF"/>
          <w:sz w:val="20"/>
          <w:szCs w:val="20"/>
        </w:rPr>
        <w:t>»  </w:t>
      </w:r>
      <w:r w:rsidR="00A86874">
        <w:rPr>
          <w:rStyle w:val="a7"/>
          <w:color w:val="E36C0A" w:themeColor="accent6" w:themeShade="BF"/>
          <w:sz w:val="20"/>
          <w:szCs w:val="20"/>
          <w:lang w:val="kk-KZ"/>
        </w:rPr>
        <w:t xml:space="preserve">декабря </w:t>
      </w:r>
      <w:r>
        <w:rPr>
          <w:rStyle w:val="a7"/>
          <w:color w:val="E36C0A" w:themeColor="accent6" w:themeShade="BF"/>
          <w:sz w:val="20"/>
          <w:szCs w:val="20"/>
        </w:rPr>
        <w:t xml:space="preserve">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1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 этаж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бухгалтерия</w:t>
      </w:r>
    </w:p>
    <w:p w14:paraId="3D174CC8" w14:textId="77777777" w:rsidR="009805F5" w:rsidRPr="00AE669E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0DCFEA51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</w:t>
      </w:r>
      <w:r w:rsidR="00C279C7">
        <w:rPr>
          <w:color w:val="2D4359"/>
          <w:sz w:val="20"/>
          <w:szCs w:val="20"/>
          <w:lang w:val="kk-KZ"/>
        </w:rPr>
        <w:t>7 12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lastRenderedPageBreak/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31396DA6" w14:textId="77777777" w:rsidR="00086D6B" w:rsidRP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3583"/>
    <w:rsid w:val="00054D0B"/>
    <w:rsid w:val="00055897"/>
    <w:rsid w:val="000620DD"/>
    <w:rsid w:val="0007185A"/>
    <w:rsid w:val="00072C49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B6E8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792B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3553"/>
    <w:rsid w:val="001967CC"/>
    <w:rsid w:val="001A1738"/>
    <w:rsid w:val="001A54AF"/>
    <w:rsid w:val="001A589A"/>
    <w:rsid w:val="001A67D6"/>
    <w:rsid w:val="001B1ABF"/>
    <w:rsid w:val="001C7FB9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57C31"/>
    <w:rsid w:val="00263197"/>
    <w:rsid w:val="0026509A"/>
    <w:rsid w:val="0026785C"/>
    <w:rsid w:val="0027036B"/>
    <w:rsid w:val="0027087A"/>
    <w:rsid w:val="002823C2"/>
    <w:rsid w:val="002827CA"/>
    <w:rsid w:val="00285834"/>
    <w:rsid w:val="00287204"/>
    <w:rsid w:val="00290006"/>
    <w:rsid w:val="00291A77"/>
    <w:rsid w:val="0029528B"/>
    <w:rsid w:val="002A16A6"/>
    <w:rsid w:val="002A283E"/>
    <w:rsid w:val="002A2911"/>
    <w:rsid w:val="002A494B"/>
    <w:rsid w:val="002B6A99"/>
    <w:rsid w:val="002C6B33"/>
    <w:rsid w:val="002C7445"/>
    <w:rsid w:val="002C7758"/>
    <w:rsid w:val="002D4E84"/>
    <w:rsid w:val="002F0C05"/>
    <w:rsid w:val="002F0D92"/>
    <w:rsid w:val="00303C97"/>
    <w:rsid w:val="003067F7"/>
    <w:rsid w:val="00307359"/>
    <w:rsid w:val="003130ED"/>
    <w:rsid w:val="003235C6"/>
    <w:rsid w:val="00345EB1"/>
    <w:rsid w:val="00364E56"/>
    <w:rsid w:val="00371707"/>
    <w:rsid w:val="0038319B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D4A9A"/>
    <w:rsid w:val="003E0B31"/>
    <w:rsid w:val="003F27C1"/>
    <w:rsid w:val="003F7892"/>
    <w:rsid w:val="00400A13"/>
    <w:rsid w:val="00403DBB"/>
    <w:rsid w:val="00413775"/>
    <w:rsid w:val="0043442B"/>
    <w:rsid w:val="004401DA"/>
    <w:rsid w:val="00444B54"/>
    <w:rsid w:val="004462B1"/>
    <w:rsid w:val="0046180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6C43"/>
    <w:rsid w:val="00517895"/>
    <w:rsid w:val="00517D55"/>
    <w:rsid w:val="005245C3"/>
    <w:rsid w:val="00526B78"/>
    <w:rsid w:val="00531989"/>
    <w:rsid w:val="00536C24"/>
    <w:rsid w:val="00554955"/>
    <w:rsid w:val="0055766D"/>
    <w:rsid w:val="005669AD"/>
    <w:rsid w:val="00567847"/>
    <w:rsid w:val="00570A94"/>
    <w:rsid w:val="00583C58"/>
    <w:rsid w:val="0059737D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422D"/>
    <w:rsid w:val="006966A4"/>
    <w:rsid w:val="00696F43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0265"/>
    <w:rsid w:val="00735662"/>
    <w:rsid w:val="007367C1"/>
    <w:rsid w:val="007445FF"/>
    <w:rsid w:val="00751A24"/>
    <w:rsid w:val="00763091"/>
    <w:rsid w:val="00767EEF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33FC"/>
    <w:rsid w:val="007D4B13"/>
    <w:rsid w:val="007E0AED"/>
    <w:rsid w:val="007E135F"/>
    <w:rsid w:val="007E1A02"/>
    <w:rsid w:val="007F2A3D"/>
    <w:rsid w:val="007F71EE"/>
    <w:rsid w:val="0080173D"/>
    <w:rsid w:val="00802C50"/>
    <w:rsid w:val="00805E25"/>
    <w:rsid w:val="008105EE"/>
    <w:rsid w:val="00815413"/>
    <w:rsid w:val="00816E6F"/>
    <w:rsid w:val="00822F4F"/>
    <w:rsid w:val="00824E38"/>
    <w:rsid w:val="00835104"/>
    <w:rsid w:val="00836991"/>
    <w:rsid w:val="00837080"/>
    <w:rsid w:val="008510E1"/>
    <w:rsid w:val="0085180E"/>
    <w:rsid w:val="00851F72"/>
    <w:rsid w:val="0085334B"/>
    <w:rsid w:val="00854FC5"/>
    <w:rsid w:val="008576F0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C4B3F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328C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1659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86874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157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5D8"/>
    <w:rsid w:val="00B646CB"/>
    <w:rsid w:val="00B67A97"/>
    <w:rsid w:val="00B72EC7"/>
    <w:rsid w:val="00B73598"/>
    <w:rsid w:val="00B73B8E"/>
    <w:rsid w:val="00B8258E"/>
    <w:rsid w:val="00B845B4"/>
    <w:rsid w:val="00B8581A"/>
    <w:rsid w:val="00B965CE"/>
    <w:rsid w:val="00BA41D7"/>
    <w:rsid w:val="00BB05D3"/>
    <w:rsid w:val="00BD259D"/>
    <w:rsid w:val="00BD31AF"/>
    <w:rsid w:val="00BD4C4D"/>
    <w:rsid w:val="00BD727F"/>
    <w:rsid w:val="00BE2876"/>
    <w:rsid w:val="00BE5E2B"/>
    <w:rsid w:val="00BE65E2"/>
    <w:rsid w:val="00BF4A11"/>
    <w:rsid w:val="00BF4B58"/>
    <w:rsid w:val="00C07215"/>
    <w:rsid w:val="00C25588"/>
    <w:rsid w:val="00C263F8"/>
    <w:rsid w:val="00C279C7"/>
    <w:rsid w:val="00C27E17"/>
    <w:rsid w:val="00C31AB7"/>
    <w:rsid w:val="00C32AEE"/>
    <w:rsid w:val="00C513C2"/>
    <w:rsid w:val="00C525B2"/>
    <w:rsid w:val="00C55B4F"/>
    <w:rsid w:val="00C571A8"/>
    <w:rsid w:val="00C6143C"/>
    <w:rsid w:val="00C63D7F"/>
    <w:rsid w:val="00C669C7"/>
    <w:rsid w:val="00C67358"/>
    <w:rsid w:val="00C700C6"/>
    <w:rsid w:val="00C70536"/>
    <w:rsid w:val="00C72558"/>
    <w:rsid w:val="00C812DE"/>
    <w:rsid w:val="00C93544"/>
    <w:rsid w:val="00CA061B"/>
    <w:rsid w:val="00CB1B1D"/>
    <w:rsid w:val="00CB706A"/>
    <w:rsid w:val="00CC037D"/>
    <w:rsid w:val="00CC69F2"/>
    <w:rsid w:val="00CD044C"/>
    <w:rsid w:val="00CD2C43"/>
    <w:rsid w:val="00CD53E2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72D83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4CE9"/>
    <w:rsid w:val="00EB6C83"/>
    <w:rsid w:val="00EC34D8"/>
    <w:rsid w:val="00EC409F"/>
    <w:rsid w:val="00EC461C"/>
    <w:rsid w:val="00EC637A"/>
    <w:rsid w:val="00EC7DC6"/>
    <w:rsid w:val="00ED23F2"/>
    <w:rsid w:val="00ED281D"/>
    <w:rsid w:val="00ED6920"/>
    <w:rsid w:val="00ED7D6A"/>
    <w:rsid w:val="00EE1151"/>
    <w:rsid w:val="00EE59CA"/>
    <w:rsid w:val="00EE5A87"/>
    <w:rsid w:val="00EE6EE2"/>
    <w:rsid w:val="00F01965"/>
    <w:rsid w:val="00F03FE6"/>
    <w:rsid w:val="00F04130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4111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D4F66"/>
    <w:rsid w:val="00FE25AB"/>
    <w:rsid w:val="00FE5D71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2">
    <w:name w:val="heading 2"/>
    <w:basedOn w:val="a"/>
    <w:link w:val="20"/>
    <w:uiPriority w:val="9"/>
    <w:qFormat/>
    <w:rsid w:val="000B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link w:val="aa"/>
    <w:uiPriority w:val="1"/>
    <w:qFormat/>
    <w:rsid w:val="00E72A9B"/>
    <w:pPr>
      <w:spacing w:after="0" w:line="240" w:lineRule="auto"/>
    </w:pPr>
  </w:style>
  <w:style w:type="character" w:customStyle="1" w:styleId="s0">
    <w:name w:val="s0"/>
    <w:basedOn w:val="a0"/>
    <w:rsid w:val="005245C3"/>
  </w:style>
  <w:style w:type="character" w:styleId="ab">
    <w:name w:val="Hyperlink"/>
    <w:basedOn w:val="a0"/>
    <w:uiPriority w:val="99"/>
    <w:semiHidden/>
    <w:unhideWhenUsed/>
    <w:rsid w:val="002A283E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3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Без интервала Знак"/>
    <w:link w:val="a9"/>
    <w:rsid w:val="003235C6"/>
  </w:style>
  <w:style w:type="paragraph" w:customStyle="1" w:styleId="Standard">
    <w:name w:val="Standard"/>
    <w:rsid w:val="003D4A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B687-2255-4515-93F5-E69DD0B9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49</cp:revision>
  <cp:lastPrinted>2023-12-07T10:43:00Z</cp:lastPrinted>
  <dcterms:created xsi:type="dcterms:W3CDTF">2023-02-08T06:29:00Z</dcterms:created>
  <dcterms:modified xsi:type="dcterms:W3CDTF">2023-12-07T10:44:00Z</dcterms:modified>
</cp:coreProperties>
</file>