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63"/>
        <w:gridCol w:w="708"/>
        <w:gridCol w:w="5245"/>
        <w:gridCol w:w="1418"/>
        <w:gridCol w:w="1417"/>
        <w:gridCol w:w="1105"/>
        <w:gridCol w:w="1701"/>
      </w:tblGrid>
      <w:tr w:rsidR="001C7FB9" w:rsidRPr="00EA5545" w14:paraId="12B41B8D" w14:textId="77777777" w:rsidTr="00CB1F1F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CA15DD" w:rsidRPr="00EA5545" w14:paraId="37D839BB" w14:textId="77777777" w:rsidTr="007C357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20B" w14:textId="54EB70A8" w:rsidR="00CA15DD" w:rsidRPr="00BE26F6" w:rsidRDefault="00BE26F6" w:rsidP="00CA15D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F3A11" w14:textId="174CF5DA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Мазь серная 33%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36F40" w14:textId="2005D610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B242" w14:textId="29E94AFA" w:rsidR="00CA15DD" w:rsidRPr="00BE26F6" w:rsidRDefault="00BE26F6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6CF" w14:textId="66A31574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Мазь серная 33%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(Аптечного приготовления) желтоватая масса со специфическим запахом серы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0BF5" w14:textId="4D66CF31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077CB" w14:textId="28BE801D" w:rsidR="00CA15DD" w:rsidRPr="00BE26F6" w:rsidRDefault="00BE26F6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6CA8" w14:textId="1C613982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2E90" w14:textId="0610BEED" w:rsidR="00CA15DD" w:rsidRPr="00CA15DD" w:rsidRDefault="00CA15DD" w:rsidP="00CA15DD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</w:t>
            </w:r>
            <w:proofErr w:type="spellStart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ул.Шернияза</w:t>
            </w:r>
            <w:proofErr w:type="spellEnd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 59</w:t>
            </w:r>
          </w:p>
        </w:tc>
      </w:tr>
      <w:tr w:rsidR="00CA15DD" w:rsidRPr="00EA5545" w14:paraId="459640D2" w14:textId="77777777" w:rsidTr="007C357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C99" w14:textId="2CAF4C33" w:rsidR="00CA15DD" w:rsidRPr="00BE26F6" w:rsidRDefault="00BE26F6" w:rsidP="00CA15D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149FB" w14:textId="1EF9EE9D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Мазь салициловая 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FF833" w14:textId="4AF6E264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1AA73" w14:textId="35627807" w:rsidR="00CA15DD" w:rsidRPr="00BE26F6" w:rsidRDefault="00BE26F6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C32A" w14:textId="00948D51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Мазь салициловая 3%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(Аптечного приготовления)</w:t>
            </w:r>
            <w:r w:rsidR="00B501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DD61" w14:textId="1157B635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C91C7" w14:textId="136870DD" w:rsidR="00CA15DD" w:rsidRPr="00BE26F6" w:rsidRDefault="00BE26F6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120 000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5A54" w14:textId="58E7EFB1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3CF4" w14:textId="0638F6B3" w:rsidR="00CA15DD" w:rsidRPr="00CA15DD" w:rsidRDefault="00CA15DD" w:rsidP="00CA15DD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</w:t>
            </w:r>
            <w:proofErr w:type="spellStart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ул.Шернияза</w:t>
            </w:r>
            <w:proofErr w:type="spellEnd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 59</w:t>
            </w:r>
          </w:p>
        </w:tc>
      </w:tr>
      <w:tr w:rsidR="00CA15DD" w:rsidRPr="00EA5545" w14:paraId="11D151D0" w14:textId="77777777" w:rsidTr="007C357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B7FB" w14:textId="30C01CAB" w:rsidR="00CA15DD" w:rsidRPr="00B0065E" w:rsidRDefault="00BE26F6" w:rsidP="00CA15D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BD5FF" w14:textId="79ED835D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Р-р </w:t>
            </w:r>
            <w:proofErr w:type="spellStart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метилиновый</w:t>
            </w:r>
            <w:proofErr w:type="spellEnd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 синий водный 4%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D9239" w14:textId="571010FC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F4E7B" w14:textId="23F7E9FE" w:rsidR="00CA15DD" w:rsidRPr="00BE26F6" w:rsidRDefault="00BE26F6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79E2" w14:textId="46DC5486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Р-р </w:t>
            </w:r>
            <w:proofErr w:type="spellStart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метилиновый</w:t>
            </w:r>
            <w:proofErr w:type="spellEnd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 синий водный 4%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(Внутриаптечного приготовления в стеклянной таре) раствор с характерным запахом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AB97" w14:textId="05385C01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5AD8D" w14:textId="6B82C911" w:rsidR="00CA15DD" w:rsidRPr="00BE26F6" w:rsidRDefault="00BE26F6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D110" w14:textId="74919749" w:rsidR="00CA15DD" w:rsidRPr="00CA15DD" w:rsidRDefault="00CA15DD" w:rsidP="00CA15D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0A9" w14:textId="16C608B3" w:rsidR="00CA15DD" w:rsidRPr="00CA15DD" w:rsidRDefault="00CA15DD" w:rsidP="00CA15DD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</w:t>
            </w:r>
            <w:proofErr w:type="spellStart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>ул.Шернияза</w:t>
            </w:r>
            <w:proofErr w:type="spellEnd"/>
            <w:r w:rsidRPr="00CA15DD">
              <w:rPr>
                <w:rFonts w:ascii="Times New Roman" w:hAnsi="Times New Roman" w:cs="Times New Roman"/>
                <w:sz w:val="18"/>
                <w:szCs w:val="18"/>
              </w:rPr>
              <w:t xml:space="preserve"> 59</w:t>
            </w:r>
          </w:p>
        </w:tc>
      </w:tr>
      <w:tr w:rsidR="00CA15DD" w:rsidRPr="00EA5545" w14:paraId="2E6C3C03" w14:textId="77777777" w:rsidTr="0031458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24C3232C" w:rsidR="00B50194" w:rsidRPr="00BE26F6" w:rsidRDefault="00BE26F6" w:rsidP="00B5019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178 600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5BDD" w14:textId="653A08FB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CA15DD" w:rsidRPr="00EA5545" w:rsidRDefault="00CA15DD" w:rsidP="00CA15D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lastRenderedPageBreak/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584B9025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BE26F6" w:rsidRPr="00BE26F6">
        <w:rPr>
          <w:rStyle w:val="a7"/>
          <w:color w:val="E36C0A" w:themeColor="accent6" w:themeShade="BF"/>
          <w:sz w:val="18"/>
          <w:szCs w:val="18"/>
        </w:rPr>
        <w:t>01</w:t>
      </w:r>
      <w:r w:rsidRPr="00EA5545">
        <w:rPr>
          <w:rStyle w:val="a7"/>
          <w:color w:val="E36C0A" w:themeColor="accent6" w:themeShade="BF"/>
          <w:sz w:val="18"/>
          <w:szCs w:val="18"/>
        </w:rPr>
        <w:t>»</w:t>
      </w:r>
      <w:r w:rsidR="00BE26F6" w:rsidRPr="00BE26F6">
        <w:rPr>
          <w:rStyle w:val="a7"/>
          <w:color w:val="E36C0A" w:themeColor="accent6" w:themeShade="BF"/>
          <w:sz w:val="18"/>
          <w:szCs w:val="18"/>
        </w:rPr>
        <w:t xml:space="preserve">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08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1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1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768CD65C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 xml:space="preserve">Конверты с заявками будут вскрываться в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3</w:t>
      </w:r>
      <w:bookmarkStart w:id="2" w:name="_GoBack"/>
      <w:bookmarkEnd w:id="2"/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CA15DD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8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BE26F6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CA15D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A86874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D42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4257"/>
    <w:rsid w:val="00AF6A9D"/>
    <w:rsid w:val="00AF7F6B"/>
    <w:rsid w:val="00B0065E"/>
    <w:rsid w:val="00B021F6"/>
    <w:rsid w:val="00B0559F"/>
    <w:rsid w:val="00B05ACD"/>
    <w:rsid w:val="00B2206A"/>
    <w:rsid w:val="00B26FD8"/>
    <w:rsid w:val="00B431A0"/>
    <w:rsid w:val="00B43D21"/>
    <w:rsid w:val="00B50194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6F6"/>
    <w:rsid w:val="00BE2876"/>
    <w:rsid w:val="00BE5E2B"/>
    <w:rsid w:val="00BE65E2"/>
    <w:rsid w:val="00BF4A11"/>
    <w:rsid w:val="00BF4B58"/>
    <w:rsid w:val="00BF7FA4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A15DD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01F8-F070-408A-A34D-3C19B2EF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74</cp:revision>
  <cp:lastPrinted>2024-01-15T04:07:00Z</cp:lastPrinted>
  <dcterms:created xsi:type="dcterms:W3CDTF">2023-02-08T06:29:00Z</dcterms:created>
  <dcterms:modified xsi:type="dcterms:W3CDTF">2024-10-31T10:56:00Z</dcterms:modified>
</cp:coreProperties>
</file>